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7063FCF" w:rsidR="00093CA9" w:rsidRDefault="005B281F"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52940D0" w:rsidR="00093CA9" w:rsidRDefault="00C514B8" w:rsidP="00093CA9">
            <w:r w:rsidRPr="00C514B8">
              <w:t>Regulation (EU) 2024/1787 on the reduction of methane emissions in the energy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EB3BB5A" w:rsidR="00093CA9" w:rsidRDefault="00DD5243" w:rsidP="00093CA9">
            <w:hyperlink r:id="rId17" w:history="1">
              <w:r w:rsidRPr="00160C78">
                <w:rPr>
                  <w:rStyle w:val="Hyperlink"/>
                </w:rPr>
                <w:t>https://web.archive.org/web/20250710153452/https://eur-lex.europa.eu/eli/reg/2024/1787/oj/eng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B077ED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633233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1AB8FF9E" w:rsidR="00093CA9" w:rsidRDefault="00C514B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867810E" w14:textId="77777777" w:rsidR="00093CA9" w:rsidRDefault="00B14CE2" w:rsidP="00093CA9">
            <w:r w:rsidRPr="00B14CE2">
              <w:t>Regulation (EU) 2024/1787</w:t>
            </w:r>
            <w:r w:rsidR="00BD67FB">
              <w:t xml:space="preserve"> </w:t>
            </w:r>
            <w:r w:rsidR="00BD67FB" w:rsidRPr="00BD67FB">
              <w:t>lays down rules for the accurate measurement, quantification, monitoring, reporting and verification of methane emissions, as well as measures to reduce those emissions in the energy sector across the EU</w:t>
            </w:r>
            <w:r w:rsidR="00BD67FB">
              <w:t>.</w:t>
            </w:r>
          </w:p>
          <w:p w14:paraId="646AC5A5" w14:textId="79710F6B" w:rsidR="00BA21AD" w:rsidRDefault="00BA21AD" w:rsidP="00093CA9">
            <w:r w:rsidRPr="00BA21AD">
              <w:t>Th</w:t>
            </w:r>
            <w:r>
              <w:t>is</w:t>
            </w:r>
            <w:r w:rsidRPr="00BA21AD">
              <w:t xml:space="preserve"> </w:t>
            </w:r>
            <w:r>
              <w:t>R</w:t>
            </w:r>
            <w:r w:rsidRPr="00BA21AD">
              <w:t xml:space="preserve">egulation is squarely targeted at reducing anthropogenic methane emissions from the oil, fossil gas and coal sectors, which are major contributors to overall methane emissions in the EU. Methane abatement is both a climate and public health objective, and this </w:t>
            </w:r>
            <w:r>
              <w:t>R</w:t>
            </w:r>
            <w:r w:rsidRPr="00BA21AD">
              <w:t>egulation introduces binding measures for the first time at EU level in this sector.</w:t>
            </w:r>
          </w:p>
          <w:p w14:paraId="18257824" w14:textId="6B0760FA" w:rsidR="005D4EAB" w:rsidRDefault="005D4EAB" w:rsidP="00093CA9">
            <w:r w:rsidRPr="005D4EAB">
              <w:t>Th</w:t>
            </w:r>
            <w:r w:rsidR="00002A7F">
              <w:t>is</w:t>
            </w:r>
            <w:r w:rsidRPr="005D4EAB">
              <w:t xml:space="preserve"> </w:t>
            </w:r>
            <w:r w:rsidR="00002A7F">
              <w:t>R</w:t>
            </w:r>
            <w:r w:rsidRPr="005D4EAB">
              <w:t>egulation is commonly referred to as the EU Methane Regulation and is closely linked to the EU Methane Strategy announced in October 2020 (Recital 6)</w:t>
            </w:r>
            <w:r w:rsidR="002C5EA7">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4AC5F79" w:rsidR="00093CA9" w:rsidRDefault="00DF67C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1C7C9FD" w:rsidR="00093CA9" w:rsidRPr="00173D7C" w:rsidRDefault="00375A0F"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D77564E" w:rsidR="00093CA9" w:rsidRPr="00173D7C" w:rsidRDefault="00375A0F"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14D6F45" w:rsidR="00093CA9" w:rsidRDefault="006631FF" w:rsidP="006631FF">
            <w:r>
              <w:t>The European Parliament and the 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91EFD3B" w:rsidR="00093CA9" w:rsidRPr="006B7B0D" w:rsidRDefault="0087311D" w:rsidP="00093CA9">
            <w:r>
              <w:t xml:space="preserve">The </w:t>
            </w:r>
            <w:r w:rsidRPr="0087311D">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F2477D4" w:rsidR="00093CA9" w:rsidRPr="006B7B0D" w:rsidRDefault="00DF183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D3A4C0F" w:rsidR="00093CA9" w:rsidRDefault="008D273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1D66A02" w14:textId="59FACAC7" w:rsidR="001E43C1" w:rsidRDefault="007C0E70" w:rsidP="007C0E70">
            <w:pPr>
              <w:keepNext/>
              <w:rPr>
                <w:color w:val="000000" w:themeColor="text1"/>
              </w:rPr>
            </w:pPr>
            <w:r w:rsidRPr="007C0E70">
              <w:rPr>
                <w:color w:val="000000" w:themeColor="text1"/>
              </w:rPr>
              <w:t>Each Member State must designate competent authorities responsible for overseeing compliance</w:t>
            </w:r>
            <w:r w:rsidR="00250FCD">
              <w:rPr>
                <w:color w:val="000000" w:themeColor="text1"/>
              </w:rPr>
              <w:t xml:space="preserve"> </w:t>
            </w:r>
            <w:r w:rsidR="00250FCD">
              <w:rPr>
                <w:color w:val="000000" w:themeColor="text1"/>
              </w:rPr>
              <w:t>(Recital 11</w:t>
            </w:r>
            <w:r w:rsidR="00250FCD">
              <w:rPr>
                <w:color w:val="000000" w:themeColor="text1"/>
              </w:rPr>
              <w:t xml:space="preserve">). </w:t>
            </w:r>
            <w:r w:rsidRPr="007C0E70">
              <w:rPr>
                <w:color w:val="000000" w:themeColor="text1"/>
              </w:rPr>
              <w:t>These authorities are tasked with regular inspections based on risk assessments, as well as ad hoc inspections in cases of complaints or suspected non-compliance</w:t>
            </w:r>
            <w:r w:rsidR="00250FCD">
              <w:rPr>
                <w:color w:val="000000" w:themeColor="text1"/>
              </w:rPr>
              <w:t xml:space="preserve"> (</w:t>
            </w:r>
            <w:r w:rsidR="00250FCD">
              <w:rPr>
                <w:color w:val="000000" w:themeColor="text1"/>
              </w:rPr>
              <w:t>Recital 1</w:t>
            </w:r>
            <w:r w:rsidR="00250FCD">
              <w:rPr>
                <w:color w:val="000000" w:themeColor="text1"/>
              </w:rPr>
              <w:t>4</w:t>
            </w:r>
            <w:r w:rsidR="00250FCD">
              <w:rPr>
                <w:color w:val="000000" w:themeColor="text1"/>
              </w:rPr>
              <w:t>).</w:t>
            </w:r>
          </w:p>
          <w:p w14:paraId="4ADB64E0" w14:textId="0A3EC4D2" w:rsidR="00FA557B" w:rsidRDefault="007E0669" w:rsidP="007C0E70">
            <w:pPr>
              <w:keepNext/>
              <w:rPr>
                <w:color w:val="000000" w:themeColor="text1"/>
              </w:rPr>
            </w:pPr>
            <w:r w:rsidRPr="007E0669">
              <w:rPr>
                <w:color w:val="000000" w:themeColor="text1"/>
              </w:rPr>
              <w:t>Operators, undertakings, mine operators and importers must report annually on methane emissions.</w:t>
            </w:r>
            <w:r>
              <w:t xml:space="preserve"> These r</w:t>
            </w:r>
            <w:r w:rsidRPr="007E0669">
              <w:rPr>
                <w:color w:val="000000" w:themeColor="text1"/>
              </w:rPr>
              <w:t>eports must be independently verified by accredited third parties to ensure accuracy</w:t>
            </w:r>
            <w:r w:rsidR="00132A27">
              <w:rPr>
                <w:color w:val="000000" w:themeColor="text1"/>
              </w:rPr>
              <w:t xml:space="preserve"> (Recitals 17 and 27, also Article 12)</w:t>
            </w:r>
            <w:r w:rsidRPr="007E0669">
              <w:rPr>
                <w:color w:val="000000" w:themeColor="text1"/>
              </w:rPr>
              <w:t>.</w:t>
            </w:r>
          </w:p>
          <w:p w14:paraId="056A8663" w14:textId="2BB2AA73" w:rsidR="00EA4BEE" w:rsidRDefault="00EA4BEE" w:rsidP="007C0E70">
            <w:pPr>
              <w:keepNext/>
              <w:rPr>
                <w:color w:val="000000" w:themeColor="text1"/>
              </w:rPr>
            </w:pPr>
            <w:r>
              <w:rPr>
                <w:color w:val="000000" w:themeColor="text1"/>
              </w:rPr>
              <w:t>Regular LDAR surveys must be conducted using defined methodologies (Recitals 33-39).</w:t>
            </w:r>
          </w:p>
          <w:p w14:paraId="46156894" w14:textId="69C02B29" w:rsidR="00D35386" w:rsidRDefault="00D35386" w:rsidP="007C0E70">
            <w:pPr>
              <w:keepNext/>
              <w:rPr>
                <w:color w:val="000000" w:themeColor="text1"/>
              </w:rPr>
            </w:pPr>
            <w:r w:rsidRPr="00D35386">
              <w:rPr>
                <w:color w:val="000000" w:themeColor="text1"/>
              </w:rPr>
              <w:t>Importers of oil, gas, and coal must report on methane control measures used by third-country producers and provide data equivalent to that required of EU operators</w:t>
            </w:r>
            <w:r>
              <w:rPr>
                <w:color w:val="000000" w:themeColor="text1"/>
              </w:rPr>
              <w:t xml:space="preserve"> (Recital 69)</w:t>
            </w:r>
            <w:r w:rsidRPr="00D35386">
              <w:rPr>
                <w:color w:val="000000" w:themeColor="text1"/>
              </w:rPr>
              <w:t>.</w:t>
            </w:r>
          </w:p>
          <w:p w14:paraId="54363CAC" w14:textId="77777777" w:rsidR="00132A27" w:rsidRDefault="00E0606A" w:rsidP="007C0E70">
            <w:pPr>
              <w:keepNext/>
              <w:rPr>
                <w:color w:val="000000" w:themeColor="text1"/>
              </w:rPr>
            </w:pPr>
            <w:r w:rsidRPr="00E0606A">
              <w:rPr>
                <w:color w:val="000000" w:themeColor="text1"/>
              </w:rPr>
              <w:t>The Commission will develop a tool to detect and report high-emitting events using data from satellite systems (e.g. Copernicus), IMEO</w:t>
            </w:r>
            <w:r>
              <w:rPr>
                <w:color w:val="000000" w:themeColor="text1"/>
              </w:rPr>
              <w:t xml:space="preserve"> </w:t>
            </w:r>
            <w:r w:rsidRPr="00E0606A">
              <w:rPr>
                <w:color w:val="000000" w:themeColor="text1"/>
              </w:rPr>
              <w:t>and other certified sources</w:t>
            </w:r>
            <w:r>
              <w:rPr>
                <w:color w:val="000000" w:themeColor="text1"/>
              </w:rPr>
              <w:t xml:space="preserve"> (Recital 70)</w:t>
            </w:r>
            <w:r w:rsidRPr="00E0606A">
              <w:rPr>
                <w:color w:val="000000" w:themeColor="text1"/>
              </w:rPr>
              <w:t>.</w:t>
            </w:r>
          </w:p>
          <w:p w14:paraId="2C2128DB" w14:textId="4748DB53" w:rsidR="00E0606A" w:rsidRPr="00E0606A" w:rsidRDefault="00E0606A" w:rsidP="00E0606A">
            <w:pPr>
              <w:keepNext/>
              <w:rPr>
                <w:color w:val="000000" w:themeColor="text1"/>
                <w:lang w:val="en-US"/>
              </w:rPr>
            </w:pPr>
            <w:r w:rsidRPr="00E0606A">
              <w:rPr>
                <w:color w:val="000000" w:themeColor="text1"/>
                <w:lang w:val="en-US"/>
              </w:rPr>
              <w:t>The Commission must periodically review the implementation of the Regulation and report to the European Parliament and Council</w:t>
            </w:r>
            <w:r>
              <w:rPr>
                <w:color w:val="000000" w:themeColor="text1"/>
                <w:lang w:val="en-US"/>
              </w:rPr>
              <w:t xml:space="preserve"> (Recital 84)</w:t>
            </w:r>
            <w:r w:rsidRPr="00E0606A">
              <w:rPr>
                <w:color w:val="000000" w:themeColor="text1"/>
                <w:lang w:val="en-US"/>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852"/>
        <w:gridCol w:w="4153"/>
        <w:gridCol w:w="237"/>
        <w:gridCol w:w="1782"/>
        <w:gridCol w:w="1692"/>
        <w:gridCol w:w="1724"/>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0EB71EA8"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21FD066"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98AA9D4" w:rsidR="002F0752" w:rsidRPr="00CF2E7C" w:rsidRDefault="00F77D2F"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17A1FC84"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C6106E8"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152B989" w:rsidR="002F0752" w:rsidRPr="00CF2E7C" w:rsidRDefault="00F77D2F"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0DA4B303"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2741F7C" w:rsidR="002F0752" w:rsidRPr="00CF2E7C" w:rsidRDefault="00F77D2F"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2A0E5E1" w:rsidR="002F0752" w:rsidRPr="00CF2E7C" w:rsidRDefault="008247BD"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19FCF65" w:rsidR="002F0752" w:rsidRPr="00CF2E7C" w:rsidRDefault="008247BD"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6AE40352" w:rsidR="002F0752" w:rsidRPr="00CF2E7C" w:rsidRDefault="008247BD"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48605262" w:rsidR="002F0752" w:rsidRPr="00CF2E7C" w:rsidRDefault="008247BD"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324546B4" w:rsidR="002F0752" w:rsidRPr="00CF2E7C" w:rsidRDefault="008247BD"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49B193C6" w:rsidR="002F0752" w:rsidRPr="00CF2E7C" w:rsidRDefault="000137BE" w:rsidP="00CF2E7C">
            <w:pPr>
              <w:rPr>
                <w:rFonts w:ascii="Calibri" w:hAnsi="Calibri" w:cs="Calibri"/>
              </w:rPr>
            </w:pPr>
            <w:r w:rsidRPr="000137BE">
              <w:rPr>
                <w:rFonts w:ascii="Calibri" w:hAnsi="Calibri" w:cs="Calibri"/>
              </w:rPr>
              <w:t>Importers of crude oil, fossil gas or coal. They are explicitly subject to reporting, monitoring and transparency obligations under Chapter 5.</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E8720F3" w:rsidR="002F0752" w:rsidRPr="00CF2E7C" w:rsidRDefault="00580849"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F47C4D0" w:rsidR="002F0752" w:rsidRPr="00CF2E7C" w:rsidRDefault="002C0576"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69CB1740"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2F47F0BB" w:rsidR="002F0752" w:rsidRPr="00CF2E7C" w:rsidRDefault="002C0576"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5EB00C9" w:rsidR="002F0752" w:rsidRPr="00CF2E7C" w:rsidRDefault="002C057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38A0A77" w:rsidR="002F0752" w:rsidRPr="00CF2E7C" w:rsidRDefault="002C0576"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3396B7B" w:rsidR="002F0752" w:rsidRPr="00CF2E7C" w:rsidRDefault="002C0576"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A830A24" w:rsidR="002F0752" w:rsidRPr="00CF2E7C" w:rsidRDefault="002C0576"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028B7A1" w:rsidR="002F0752" w:rsidRPr="00CF2E7C" w:rsidRDefault="002C0576"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519904E" w:rsidR="002F0752" w:rsidRPr="00CF2E7C" w:rsidRDefault="002C0576"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0C1BAA2" w:rsidR="002F0752" w:rsidRPr="00CF2E7C" w:rsidRDefault="002C057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3219876" w:rsidR="002F0752" w:rsidRPr="00CF2E7C" w:rsidRDefault="002C0576"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6AE2EF3C" w:rsidR="002F0752" w:rsidRPr="00CF2E7C" w:rsidRDefault="002C057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F00C11E" w:rsidR="002F0752" w:rsidRPr="00CF2E7C" w:rsidRDefault="002C0576"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AFD5A29" w:rsidR="002F0752" w:rsidRPr="00CF2E7C" w:rsidRDefault="002C0576"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6478D4EC" w:rsidR="002F0752" w:rsidRPr="00CF2E7C" w:rsidRDefault="002C0576"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A8D4FA8" w:rsidR="002F0752" w:rsidRPr="00CF2E7C" w:rsidRDefault="002C0576"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A35A56A" w:rsidR="002F0752" w:rsidRPr="00CF2E7C" w:rsidRDefault="002C0576"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717B4FE" w:rsidR="002F0752" w:rsidRPr="00CF2E7C" w:rsidRDefault="002C0576"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38733D0" w:rsidR="002F0752" w:rsidRPr="00CF2E7C" w:rsidRDefault="002C0576"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04DB8D9B" w:rsidR="002F0752" w:rsidRPr="00CF2E7C" w:rsidRDefault="002C0576"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5D41B05" w:rsidR="002F0752" w:rsidRPr="00CF2E7C" w:rsidRDefault="002C0576"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651D72FE" w:rsidR="002F0752" w:rsidRPr="00CF2E7C" w:rsidRDefault="002C0576"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3303D4A0" w:rsidR="002F0752" w:rsidRPr="00CF2E7C" w:rsidRDefault="00D67FE8" w:rsidP="00CF2E7C">
            <w:pPr>
              <w:rPr>
                <w:rFonts w:ascii="Calibri" w:hAnsi="Calibri" w:cs="Calibri"/>
              </w:rPr>
            </w:pPr>
            <w:r w:rsidRPr="00D67FE8">
              <w:rPr>
                <w:rFonts w:ascii="Calibri" w:hAnsi="Calibri" w:cs="Calibri"/>
              </w:rPr>
              <w:t>Importers of crude oil, natural gas and coal (even if not producers themselves) are explicitly covered (Art. 1(3)</w:t>
            </w:r>
            <w:r w:rsidR="00684498">
              <w:rPr>
                <w:rFonts w:ascii="Calibri" w:hAnsi="Calibri" w:cs="Calibri"/>
              </w:rPr>
              <w:t xml:space="preserve"> and </w:t>
            </w:r>
            <w:r w:rsidRPr="00D67FE8">
              <w:rPr>
                <w:rFonts w:ascii="Calibri" w:hAnsi="Calibri" w:cs="Calibri"/>
              </w:rPr>
              <w:t>Chapter 5)</w:t>
            </w:r>
            <w:r w:rsidR="000B2504">
              <w:rPr>
                <w:rFonts w:ascii="Calibri" w:hAnsi="Calibri" w:cs="Calibri"/>
              </w:rPr>
              <w:t>.</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6115E0DF" w:rsidR="002F0752" w:rsidRPr="00CF2E7C" w:rsidRDefault="001A5DBB" w:rsidP="00CF2E7C">
            <w:pPr>
              <w:rPr>
                <w:rFonts w:ascii="Calibri" w:hAnsi="Calibri" w:cs="Calibri"/>
              </w:rPr>
            </w:pPr>
            <w:r w:rsidRPr="00182250">
              <w:rPr>
                <w:rFonts w:ascii="Calibri" w:hAnsi="Calibri" w:cs="Calibri"/>
              </w:rPr>
              <w:t>Compliance is activity-based</w:t>
            </w:r>
            <w:r w:rsidR="00F374EB">
              <w:rPr>
                <w:rFonts w:ascii="Calibri" w:hAnsi="Calibri" w:cs="Calibri"/>
              </w:rPr>
              <w:t xml:space="preserve"> (Article 1</w:t>
            </w:r>
            <w:r w:rsidR="00B41A60">
              <w:rPr>
                <w:rFonts w:ascii="Calibri" w:hAnsi="Calibri" w:cs="Calibri"/>
              </w:rPr>
              <w:t>(2)-(3), Article 2(3)</w:t>
            </w:r>
            <w:r w:rsidR="0032540B">
              <w:rPr>
                <w:rFonts w:ascii="Calibri" w:hAnsi="Calibri" w:cs="Calibri"/>
              </w:rPr>
              <w:t xml:space="preserve"> (12)-(23)</w:t>
            </w:r>
            <w:r w:rsidR="00F374EB">
              <w:rPr>
                <w:rFonts w:ascii="Calibri" w:hAnsi="Calibri" w:cs="Calibri"/>
              </w:rPr>
              <w:t>)</w:t>
            </w:r>
            <w:r w:rsidR="00182250" w:rsidRPr="00182250">
              <w:rPr>
                <w:rFonts w:ascii="Calibri" w:hAnsi="Calibri" w:cs="Calibri"/>
              </w:rPr>
              <w:t>.</w:t>
            </w:r>
            <w:r w:rsidR="00182250">
              <w:rPr>
                <w:rFonts w:ascii="Calibri" w:hAnsi="Calibri" w:cs="Calibri"/>
              </w:rPr>
              <w:t xml:space="preserve"> </w:t>
            </w:r>
            <w:r w:rsidR="00182250" w:rsidRPr="00182250">
              <w:rPr>
                <w:rFonts w:ascii="Calibri" w:hAnsi="Calibri" w:cs="Calibri"/>
              </w:rPr>
              <w:t>An entity is subject to mandatory obligations if it performs any of the following activities (regardless of size, revenue, etc.):</w:t>
            </w:r>
            <w:r w:rsidR="00182250">
              <w:rPr>
                <w:rFonts w:ascii="Calibri" w:hAnsi="Calibri" w:cs="Calibri"/>
              </w:rPr>
              <w:t xml:space="preserve"> </w:t>
            </w:r>
            <w:r w:rsidR="008C70FD">
              <w:rPr>
                <w:rFonts w:ascii="Calibri" w:hAnsi="Calibri" w:cs="Calibri"/>
              </w:rPr>
              <w:t>o</w:t>
            </w:r>
            <w:r w:rsidR="00182250" w:rsidRPr="00182250">
              <w:rPr>
                <w:rFonts w:ascii="Calibri" w:hAnsi="Calibri" w:cs="Calibri"/>
              </w:rPr>
              <w:t>il or fossil gas exploration and production</w:t>
            </w:r>
            <w:r w:rsidR="00182250">
              <w:rPr>
                <w:rFonts w:ascii="Calibri" w:hAnsi="Calibri" w:cs="Calibri"/>
              </w:rPr>
              <w:t xml:space="preserve">; </w:t>
            </w:r>
            <w:r w:rsidR="008C70FD">
              <w:rPr>
                <w:rFonts w:ascii="Calibri" w:hAnsi="Calibri" w:cs="Calibri"/>
              </w:rPr>
              <w:t>f</w:t>
            </w:r>
            <w:r w:rsidR="008C70FD" w:rsidRPr="008C70FD">
              <w:rPr>
                <w:rFonts w:ascii="Calibri" w:hAnsi="Calibri" w:cs="Calibri"/>
              </w:rPr>
              <w:t>ossil gas gathering and processing</w:t>
            </w:r>
            <w:r w:rsidR="008C70FD">
              <w:rPr>
                <w:rFonts w:ascii="Calibri" w:hAnsi="Calibri" w:cs="Calibri"/>
              </w:rPr>
              <w:t>; g</w:t>
            </w:r>
            <w:r w:rsidR="008C70FD" w:rsidRPr="008C70FD">
              <w:rPr>
                <w:rFonts w:ascii="Calibri" w:hAnsi="Calibri" w:cs="Calibri"/>
              </w:rPr>
              <w:t>as transmission, distribution and storage</w:t>
            </w:r>
            <w:r w:rsidR="008C70FD">
              <w:rPr>
                <w:rFonts w:ascii="Calibri" w:hAnsi="Calibri" w:cs="Calibri"/>
              </w:rPr>
              <w:t>; o</w:t>
            </w:r>
            <w:r w:rsidR="008C70FD" w:rsidRPr="008C70FD">
              <w:rPr>
                <w:rFonts w:ascii="Calibri" w:hAnsi="Calibri" w:cs="Calibri"/>
              </w:rPr>
              <w:t>peration of LNG facilities</w:t>
            </w:r>
            <w:r w:rsidR="008C70FD">
              <w:rPr>
                <w:rFonts w:ascii="Calibri" w:hAnsi="Calibri" w:cs="Calibri"/>
              </w:rPr>
              <w:t>; o</w:t>
            </w:r>
            <w:r w:rsidR="008C70FD" w:rsidRPr="008C70FD">
              <w:rPr>
                <w:rFonts w:ascii="Calibri" w:hAnsi="Calibri" w:cs="Calibri"/>
              </w:rPr>
              <w:t>peration of active underground or surface coal mines</w:t>
            </w:r>
            <w:r w:rsidR="008C70FD">
              <w:rPr>
                <w:rFonts w:ascii="Calibri" w:hAnsi="Calibri" w:cs="Calibri"/>
              </w:rPr>
              <w:t>; r</w:t>
            </w:r>
            <w:r w:rsidR="008C70FD" w:rsidRPr="008C70FD">
              <w:rPr>
                <w:rFonts w:ascii="Calibri" w:hAnsi="Calibri" w:cs="Calibri"/>
              </w:rPr>
              <w:t>esponsibility for closed or abandoned underground coal mines</w:t>
            </w:r>
            <w:r w:rsidR="008C70FD">
              <w:rPr>
                <w:rFonts w:ascii="Calibri" w:hAnsi="Calibri" w:cs="Calibri"/>
              </w:rPr>
              <w:t>;</w:t>
            </w:r>
            <w:r w:rsidR="008C70FD">
              <w:t xml:space="preserve"> o</w:t>
            </w:r>
            <w:r w:rsidR="008C70FD" w:rsidRPr="008C70FD">
              <w:rPr>
                <w:rFonts w:ascii="Calibri" w:hAnsi="Calibri" w:cs="Calibri"/>
              </w:rPr>
              <w:t>peration of inactive or plugged oil/gas wells</w:t>
            </w:r>
            <w:r w:rsidR="008C70FD">
              <w:rPr>
                <w:rFonts w:ascii="Calibri" w:hAnsi="Calibri" w:cs="Calibri"/>
              </w:rPr>
              <w:t xml:space="preserve">; </w:t>
            </w:r>
            <w:r w:rsidR="00F374EB">
              <w:rPr>
                <w:rFonts w:ascii="Calibri" w:hAnsi="Calibri" w:cs="Calibri"/>
              </w:rPr>
              <w:t>i</w:t>
            </w:r>
            <w:r w:rsidR="00F374EB" w:rsidRPr="00F374EB">
              <w:rPr>
                <w:rFonts w:ascii="Calibri" w:hAnsi="Calibri" w:cs="Calibri"/>
              </w:rPr>
              <w:t>mport of crude oil, natural gas or coal into the Union</w:t>
            </w:r>
            <w:r w:rsidR="00F374EB">
              <w:rPr>
                <w:rFonts w:ascii="Calibri" w:hAnsi="Calibri" w:cs="Calibri"/>
              </w:rPr>
              <w: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47B6AD94" w:rsidR="002F0752" w:rsidRPr="00CF2E7C" w:rsidRDefault="00B27DF4"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A154C45" w:rsidR="002F0752" w:rsidRPr="00CF2E7C" w:rsidRDefault="00B27DF4"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lastRenderedPageBreak/>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1BE94F1E" w:rsidR="002F0752" w:rsidRPr="00CF2E7C" w:rsidRDefault="00026B5D"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21123755" w14:textId="77777777" w:rsidR="002F0752" w:rsidRDefault="00AD27E4" w:rsidP="00CF2E7C">
            <w:pPr>
              <w:rPr>
                <w:rFonts w:ascii="Calibri" w:hAnsi="Calibri" w:cs="Calibri"/>
              </w:rPr>
            </w:pPr>
            <w:r w:rsidRPr="00AD27E4">
              <w:rPr>
                <w:rFonts w:ascii="Calibri" w:hAnsi="Calibri" w:cs="Calibri"/>
              </w:rPr>
              <w:t>The sanctions for non-compliance under EU Methane Regulation are primarily detailed in Chapter 7, Article 33 (Penalties) and supported by Annex VIII.</w:t>
            </w:r>
          </w:p>
          <w:p w14:paraId="3D60DD4E" w14:textId="77777777" w:rsidR="00AD27E4" w:rsidRDefault="006E1CD1" w:rsidP="00CF2E7C">
            <w:pPr>
              <w:rPr>
                <w:rFonts w:ascii="Calibri" w:hAnsi="Calibri" w:cs="Calibri"/>
              </w:rPr>
            </w:pPr>
            <w:r>
              <w:rPr>
                <w:rFonts w:ascii="Calibri" w:hAnsi="Calibri" w:cs="Calibri"/>
              </w:rPr>
              <w:t>- Monetary fine</w:t>
            </w:r>
          </w:p>
          <w:p w14:paraId="2F19F9D2" w14:textId="77777777" w:rsidR="006E1CD1" w:rsidRDefault="006E1CD1" w:rsidP="00CF2E7C">
            <w:pPr>
              <w:rPr>
                <w:rFonts w:ascii="Calibri" w:hAnsi="Calibri" w:cs="Calibri"/>
              </w:rPr>
            </w:pPr>
            <w:r w:rsidRPr="006E1CD1">
              <w:rPr>
                <w:rFonts w:ascii="Calibri" w:hAnsi="Calibri" w:cs="Calibri"/>
              </w:rPr>
              <w:t>Member States must establish effective, proportionate and dissuasive penalties including fine</w:t>
            </w:r>
            <w:r>
              <w:rPr>
                <w:rFonts w:ascii="Calibri" w:hAnsi="Calibri" w:cs="Calibri"/>
              </w:rPr>
              <w:t>s. These must be calculated considering environmental damage, human health impact</w:t>
            </w:r>
            <w:r w:rsidR="00880887">
              <w:rPr>
                <w:rFonts w:ascii="Calibri" w:hAnsi="Calibri" w:cs="Calibri"/>
              </w:rPr>
              <w:t xml:space="preserve"> and economic benefit from the infringement.</w:t>
            </w:r>
          </w:p>
          <w:p w14:paraId="76B40F99" w14:textId="77777777" w:rsidR="00880887" w:rsidRDefault="00880887" w:rsidP="00CF2E7C">
            <w:pPr>
              <w:rPr>
                <w:rFonts w:ascii="Calibri" w:hAnsi="Calibri" w:cs="Calibri"/>
              </w:rPr>
            </w:pPr>
            <w:r>
              <w:rPr>
                <w:rFonts w:ascii="Calibri" w:hAnsi="Calibri" w:cs="Calibri"/>
              </w:rPr>
              <w:t>This Regulation also establishes periodic penalty payments designed to enforce compliance, e.g.</w:t>
            </w:r>
            <w:r w:rsidR="00120431">
              <w:rPr>
                <w:rFonts w:ascii="Calibri" w:hAnsi="Calibri" w:cs="Calibri"/>
              </w:rPr>
              <w:t xml:space="preserve"> by requiring the infringer to end the infringement, implement corrective measures and submit to inspections or reporting requirements.</w:t>
            </w:r>
          </w:p>
          <w:p w14:paraId="1C5AC6B1" w14:textId="77777777" w:rsidR="008D36D2" w:rsidRDefault="008D36D2" w:rsidP="00CF2E7C">
            <w:pPr>
              <w:rPr>
                <w:rFonts w:ascii="Calibri" w:hAnsi="Calibri" w:cs="Calibri"/>
              </w:rPr>
            </w:pPr>
            <w:r>
              <w:rPr>
                <w:rFonts w:ascii="Calibri" w:hAnsi="Calibri" w:cs="Calibri"/>
              </w:rPr>
              <w:t>- Other</w:t>
            </w:r>
          </w:p>
          <w:p w14:paraId="447AA35B" w14:textId="2158B427" w:rsidR="002A5291" w:rsidRPr="00CF2E7C" w:rsidRDefault="008D36D2" w:rsidP="00CF2E7C">
            <w:pPr>
              <w:rPr>
                <w:rFonts w:ascii="Calibri" w:hAnsi="Calibri" w:cs="Calibri"/>
              </w:rPr>
            </w:pPr>
            <w:r>
              <w:rPr>
                <w:rFonts w:ascii="Calibri" w:hAnsi="Calibri" w:cs="Calibri"/>
              </w:rPr>
              <w:t xml:space="preserve">Member States may also impose orders to cease the infringement, confiscation of profits </w:t>
            </w:r>
            <w:proofErr w:type="gramStart"/>
            <w:r>
              <w:rPr>
                <w:rFonts w:ascii="Calibri" w:hAnsi="Calibri" w:cs="Calibri"/>
              </w:rPr>
              <w:t>gained</w:t>
            </w:r>
            <w:proofErr w:type="gramEnd"/>
            <w:r>
              <w:rPr>
                <w:rFonts w:ascii="Calibri" w:hAnsi="Calibri" w:cs="Calibri"/>
              </w:rPr>
              <w:t xml:space="preserve"> or losses avoided due to the infringement, public warnings or notices, other </w:t>
            </w:r>
            <w:r w:rsidR="002A5291">
              <w:rPr>
                <w:rFonts w:ascii="Calibri" w:hAnsi="Calibri" w:cs="Calibri"/>
              </w:rPr>
              <w:t>administrative measures.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0022B2DE" w:rsidR="002F0752" w:rsidRPr="00CF2E7C" w:rsidRDefault="0015483C"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6A4EFEE0" w14:textId="77777777" w:rsidR="00FE7DFB" w:rsidRDefault="004F1752" w:rsidP="00CF2E7C">
            <w:pPr>
              <w:rPr>
                <w:rFonts w:ascii="Calibri" w:hAnsi="Calibri" w:cs="Calibri"/>
              </w:rPr>
            </w:pPr>
            <w:r w:rsidRPr="004F1752">
              <w:rPr>
                <w:rFonts w:ascii="Calibri" w:hAnsi="Calibri" w:cs="Calibri"/>
              </w:rPr>
              <w:t>A €175 million funding package for methane action was announced at COP28 (December 2023), part of the Global Methane Pledge, tied to the Regulation’s implementation</w:t>
            </w:r>
            <w:r>
              <w:rPr>
                <w:rFonts w:ascii="Calibri" w:hAnsi="Calibri" w:cs="Calibri"/>
              </w:rPr>
              <w:t>.</w:t>
            </w:r>
          </w:p>
          <w:p w14:paraId="76C0F2CF" w14:textId="42A5C990" w:rsidR="004F1752" w:rsidRDefault="004F1752" w:rsidP="00CF2E7C">
            <w:pPr>
              <w:rPr>
                <w:rFonts w:ascii="Calibri" w:hAnsi="Calibri" w:cs="Calibri"/>
              </w:rPr>
            </w:pPr>
            <w:r>
              <w:rPr>
                <w:rFonts w:ascii="Calibri" w:hAnsi="Calibri" w:cs="Calibri"/>
              </w:rPr>
              <w:t>Available at:</w:t>
            </w:r>
            <w:r w:rsidR="003C14EB">
              <w:rPr>
                <w:rFonts w:ascii="Calibri" w:hAnsi="Calibri" w:cs="Calibri"/>
              </w:rPr>
              <w:t xml:space="preserve"> </w:t>
            </w:r>
            <w:hyperlink r:id="rId20" w:history="1">
              <w:r w:rsidR="003C14EB" w:rsidRPr="0035488E">
                <w:rPr>
                  <w:rStyle w:val="Hyperlink"/>
                  <w:rFonts w:ascii="Calibri" w:hAnsi="Calibri" w:cs="Calibri"/>
                </w:rPr>
                <w:t>https://web.archive.org/web/20250715151319/https://energy.ec.europa.eu/topics/carbon-management-and-fossil-fuels/methane-emissions_en</w:t>
              </w:r>
            </w:hyperlink>
            <w:r w:rsidR="003C14EB">
              <w:rPr>
                <w:rFonts w:ascii="Calibri" w:hAnsi="Calibri" w:cs="Calibri"/>
              </w:rPr>
              <w:t xml:space="preserve"> </w:t>
            </w:r>
          </w:p>
          <w:p w14:paraId="78261479" w14:textId="77777777" w:rsidR="004F1752" w:rsidRDefault="009B0410" w:rsidP="00CF2E7C">
            <w:pPr>
              <w:rPr>
                <w:rFonts w:ascii="Calibri" w:hAnsi="Calibri" w:cs="Calibri"/>
              </w:rPr>
            </w:pPr>
            <w:r w:rsidRPr="009B0410">
              <w:rPr>
                <w:rFonts w:ascii="Calibri" w:hAnsi="Calibri" w:cs="Calibri"/>
              </w:rPr>
              <w:t>A joint workshop in Ashgabat (June 2025) focused on implementing the EU methane requirements for energy imports—part of outreach beyond EU borders</w:t>
            </w:r>
            <w:r w:rsidR="002F44A6">
              <w:rPr>
                <w:rFonts w:ascii="Calibri" w:hAnsi="Calibri" w:cs="Calibri"/>
              </w:rPr>
              <w:t>.</w:t>
            </w:r>
          </w:p>
          <w:p w14:paraId="28830E53" w14:textId="652BF824" w:rsidR="002F44A6" w:rsidRPr="00CF2E7C" w:rsidRDefault="002F44A6" w:rsidP="00CF2E7C">
            <w:pPr>
              <w:rPr>
                <w:rFonts w:ascii="Calibri" w:hAnsi="Calibri" w:cs="Calibri"/>
              </w:rPr>
            </w:pPr>
            <w:r>
              <w:rPr>
                <w:rFonts w:ascii="Calibri" w:hAnsi="Calibri" w:cs="Calibri"/>
              </w:rPr>
              <w:lastRenderedPageBreak/>
              <w:t xml:space="preserve">Available at: </w:t>
            </w:r>
            <w:hyperlink r:id="rId21" w:history="1">
              <w:r w:rsidRPr="0035488E">
                <w:rPr>
                  <w:rStyle w:val="Hyperlink"/>
                  <w:rFonts w:ascii="Calibri" w:hAnsi="Calibri" w:cs="Calibri"/>
                </w:rPr>
                <w:t>https://web.archive.org/web/20250715151425/https://greencentralasia.org/en/2025/06/joint-workshop-introduces-new-european-union-eu-regulation-on-reducing-methane-emissions-in-the-energy-sector-in-ashgabat/</w:t>
              </w:r>
            </w:hyperlink>
            <w:r>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6D81218B" w:rsidR="002F0752" w:rsidRPr="00CF2E7C" w:rsidRDefault="00ED0CD5"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103963E5" w:rsidR="002F0752" w:rsidRPr="00CF2E7C" w:rsidRDefault="00E86383"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354EA368" w14:textId="77777777" w:rsidR="002F0752" w:rsidRDefault="00CC0ED5" w:rsidP="00CF2E7C">
            <w:pPr>
              <w:rPr>
                <w:rFonts w:ascii="Calibri" w:hAnsi="Calibri" w:cs="Calibri"/>
              </w:rPr>
            </w:pPr>
            <w:r w:rsidRPr="00CC0ED5">
              <w:rPr>
                <w:rFonts w:ascii="Calibri" w:hAnsi="Calibri" w:cs="Calibri"/>
              </w:rPr>
              <w:t>The Global Legal Action Network (GLAN) has initiated legal proceedings at the Court of Justice of the European Union (CJEU). The case argues that the EU is failing to limit methane emissions from imported fossil gas</w:t>
            </w:r>
            <w:r>
              <w:rPr>
                <w:rFonts w:ascii="Calibri" w:hAnsi="Calibri" w:cs="Calibri"/>
              </w:rPr>
              <w:t xml:space="preserve">. </w:t>
            </w:r>
            <w:r w:rsidRPr="00CC0ED5">
              <w:rPr>
                <w:rFonts w:ascii="Calibri" w:hAnsi="Calibri" w:cs="Calibri"/>
              </w:rPr>
              <w:t>The claimant alleges the EU is violating its human rights obligations by allowing gas imports without adequate methane limit</w:t>
            </w:r>
            <w:r>
              <w:rPr>
                <w:rFonts w:ascii="Calibri" w:hAnsi="Calibri" w:cs="Calibri"/>
              </w:rPr>
              <w:t>.</w:t>
            </w:r>
          </w:p>
          <w:p w14:paraId="4467EDC6" w14:textId="6D060C1C" w:rsidR="00CC0ED5" w:rsidRPr="00CF2E7C" w:rsidRDefault="00CC0ED5" w:rsidP="00CF2E7C">
            <w:pPr>
              <w:rPr>
                <w:rFonts w:ascii="Calibri" w:hAnsi="Calibri" w:cs="Calibri"/>
              </w:rPr>
            </w:pPr>
            <w:r>
              <w:rPr>
                <w:rFonts w:ascii="Calibri" w:hAnsi="Calibri" w:cs="Calibri"/>
              </w:rPr>
              <w:t xml:space="preserve">Available at: </w:t>
            </w:r>
            <w:hyperlink r:id="rId22" w:history="1">
              <w:r w:rsidR="00A241BB" w:rsidRPr="0035488E">
                <w:rPr>
                  <w:rStyle w:val="Hyperlink"/>
                  <w:rFonts w:ascii="Calibri" w:hAnsi="Calibri" w:cs="Calibri"/>
                </w:rPr>
                <w:t>https://web.archive.org/web/20250715151627/https://www.glanlaw.org/eu-methane</w:t>
              </w:r>
            </w:hyperlink>
            <w:r w:rsidR="00A241BB">
              <w:rPr>
                <w:rFonts w:ascii="Calibri" w:hAnsi="Calibri" w:cs="Calibri"/>
              </w:rPr>
              <w:t xml:space="preserve">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4106291"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63A2522E" w:rsidR="002F0752" w:rsidRPr="00CF2E7C" w:rsidRDefault="00A241BB"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EE3C39C" w14:textId="77777777" w:rsidR="002F0752" w:rsidRDefault="00F91338" w:rsidP="00CF2E7C">
            <w:pPr>
              <w:rPr>
                <w:rFonts w:ascii="Calibri" w:hAnsi="Calibri" w:cs="Calibri"/>
              </w:rPr>
            </w:pPr>
            <w:r w:rsidRPr="00F91338">
              <w:rPr>
                <w:rFonts w:ascii="Calibri" w:hAnsi="Calibri" w:cs="Calibri"/>
              </w:rPr>
              <w:t>While Regulation (EU) 2024/1787 does not recommend or require national methane reduction targets, it does establish an alternative mechanism based on methane intensity.</w:t>
            </w:r>
            <w:r w:rsidR="00CC7AB1">
              <w:rPr>
                <w:rFonts w:ascii="Calibri" w:hAnsi="Calibri" w:cs="Calibri"/>
              </w:rPr>
              <w:t xml:space="preserve"> </w:t>
            </w:r>
          </w:p>
          <w:p w14:paraId="0A03C72C" w14:textId="77777777" w:rsidR="00CC7AB1" w:rsidRDefault="00CC7AB1" w:rsidP="00CF2E7C">
            <w:pPr>
              <w:rPr>
                <w:rFonts w:ascii="Calibri" w:hAnsi="Calibri" w:cs="Calibri"/>
              </w:rPr>
            </w:pPr>
            <w:r w:rsidRPr="00CC7AB1">
              <w:rPr>
                <w:rFonts w:ascii="Calibri" w:hAnsi="Calibri" w:cs="Calibri"/>
              </w:rPr>
              <w:t>According to Article 31(5), the Commission is required to establish a methodology for calculating the methane intensity of the production of crude oil, natural gas</w:t>
            </w:r>
            <w:r>
              <w:rPr>
                <w:rFonts w:ascii="Calibri" w:hAnsi="Calibri" w:cs="Calibri"/>
              </w:rPr>
              <w:t xml:space="preserve"> </w:t>
            </w:r>
            <w:r w:rsidRPr="00CC7AB1">
              <w:rPr>
                <w:rFonts w:ascii="Calibri" w:hAnsi="Calibri" w:cs="Calibri"/>
              </w:rPr>
              <w:t>and coal.</w:t>
            </w:r>
            <w:r>
              <w:t xml:space="preserve"> </w:t>
            </w:r>
            <w:r w:rsidRPr="00CC7AB1">
              <w:rPr>
                <w:rFonts w:ascii="Calibri" w:hAnsi="Calibri" w:cs="Calibri"/>
              </w:rPr>
              <w:t>Recital (77) makes clear that the Commission is empowered to set mandatory maximum methane intensity values and classes for fossil fuels placed on the Union market, thereby introducing binding performance thresholds.</w:t>
            </w:r>
          </w:p>
          <w:p w14:paraId="5402670F" w14:textId="4E99E56D" w:rsidR="00CC7AB1" w:rsidRPr="00CF2E7C" w:rsidRDefault="006A05CE" w:rsidP="00CF2E7C">
            <w:pPr>
              <w:rPr>
                <w:rFonts w:ascii="Calibri" w:hAnsi="Calibri" w:cs="Calibri"/>
              </w:rPr>
            </w:pPr>
            <w:r w:rsidRPr="006A05CE">
              <w:rPr>
                <w:rFonts w:ascii="Calibri" w:hAnsi="Calibri" w:cs="Calibri"/>
              </w:rPr>
              <w:t>As stated in Recital (7), methane emissions fall under the Union’s binding net greenhouse gas reduction target of at least 55% by 2030 compared to 1990 levels, as established in Regulation (EU) 2021/1119 (the European Climate Law).</w:t>
            </w:r>
            <w:r>
              <w:rPr>
                <w:rFonts w:ascii="Calibri" w:hAnsi="Calibri" w:cs="Calibri"/>
              </w:rPr>
              <w:t xml:space="preserve"> </w:t>
            </w:r>
            <w:r w:rsidRPr="006A05CE">
              <w:rPr>
                <w:rFonts w:ascii="Calibri" w:hAnsi="Calibri" w:cs="Calibri"/>
              </w:rPr>
              <w:t>The methane intensity framework under the present Regulation is therefore not a stand-alone target but is integrated into the EU’s wider effort to reduce emissions under the "Fit for 55" package.</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lastRenderedPageBreak/>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0A3B36FE" w:rsidR="002F0752" w:rsidRPr="00CF2E7C" w:rsidRDefault="001C216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698221C" w:rsidR="002F0752" w:rsidRPr="33822AF7" w:rsidRDefault="00DC587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5614A11" w:rsidR="002F0752" w:rsidRPr="33822AF7" w:rsidRDefault="00DC587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AF8A17C" w:rsidR="002F0752" w:rsidRPr="00CF2E7C" w:rsidRDefault="008F1E4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4B64759" w14:textId="26030C4D" w:rsidR="002F0752" w:rsidRDefault="00A24FA0" w:rsidP="009B6091">
            <w:pPr>
              <w:rPr>
                <w:rFonts w:ascii="Calibri" w:eastAsia="Calibri" w:hAnsi="Calibri" w:cs="Calibri"/>
                <w:color w:val="000000" w:themeColor="text1"/>
              </w:rPr>
            </w:pPr>
            <w:r w:rsidRPr="00A24FA0">
              <w:rPr>
                <w:rFonts w:ascii="Calibri" w:eastAsia="Calibri" w:hAnsi="Calibri" w:cs="Calibri"/>
                <w:color w:val="000000" w:themeColor="text1"/>
              </w:rPr>
              <w:t>EU Methane Regulation</w:t>
            </w:r>
            <w:r w:rsidR="00ED5789" w:rsidRPr="00ED5789">
              <w:rPr>
                <w:rFonts w:ascii="Calibri" w:eastAsia="Calibri" w:hAnsi="Calibri" w:cs="Calibri"/>
                <w:color w:val="000000" w:themeColor="text1"/>
              </w:rPr>
              <w:t xml:space="preserve"> imposes binding obligations on operators and undertakings in the oil and gas sector to quantify and report methane emissions by source. It draws from the OGMP 2.0 framework and establishes detailed definitions and methodologies including:</w:t>
            </w:r>
          </w:p>
          <w:p w14:paraId="08DD96FB" w14:textId="5FE8B680" w:rsidR="00A9152A" w:rsidRPr="00A9152A" w:rsidRDefault="00A9152A" w:rsidP="00A9152A">
            <w:pPr>
              <w:rPr>
                <w:rFonts w:ascii="Calibri" w:eastAsia="Calibri" w:hAnsi="Calibri" w:cs="Calibri"/>
                <w:color w:val="000000" w:themeColor="text1"/>
              </w:rPr>
            </w:pPr>
            <w:r>
              <w:rPr>
                <w:rFonts w:ascii="Calibri" w:eastAsia="Calibri" w:hAnsi="Calibri" w:cs="Calibri"/>
                <w:color w:val="000000" w:themeColor="text1"/>
              </w:rPr>
              <w:t xml:space="preserve">- </w:t>
            </w:r>
            <w:r w:rsidRPr="00A9152A">
              <w:rPr>
                <w:rFonts w:ascii="Calibri" w:eastAsia="Calibri" w:hAnsi="Calibri" w:cs="Calibri"/>
                <w:color w:val="000000" w:themeColor="text1"/>
              </w:rPr>
              <w:t>Direct measurements at source level (Art</w:t>
            </w:r>
            <w:r>
              <w:rPr>
                <w:rFonts w:ascii="Calibri" w:eastAsia="Calibri" w:hAnsi="Calibri" w:cs="Calibri"/>
                <w:color w:val="000000" w:themeColor="text1"/>
              </w:rPr>
              <w:t>icle</w:t>
            </w:r>
            <w:r w:rsidRPr="00A9152A">
              <w:rPr>
                <w:rFonts w:ascii="Calibri" w:eastAsia="Calibri" w:hAnsi="Calibri" w:cs="Calibri"/>
                <w:color w:val="000000" w:themeColor="text1"/>
              </w:rPr>
              <w:t xml:space="preserve"> 2(19)</w:t>
            </w:r>
            <w:proofErr w:type="gramStart"/>
            <w:r w:rsidRPr="00A9152A">
              <w:rPr>
                <w:rFonts w:ascii="Calibri" w:eastAsia="Calibri" w:hAnsi="Calibri" w:cs="Calibri"/>
                <w:color w:val="000000" w:themeColor="text1"/>
              </w:rPr>
              <w:t>)</w:t>
            </w:r>
            <w:r>
              <w:rPr>
                <w:rFonts w:ascii="Calibri" w:eastAsia="Calibri" w:hAnsi="Calibri" w:cs="Calibri"/>
                <w:color w:val="000000" w:themeColor="text1"/>
              </w:rPr>
              <w:t>;</w:t>
            </w:r>
            <w:proofErr w:type="gramEnd"/>
          </w:p>
          <w:p w14:paraId="2AA4E15A" w14:textId="566F8173" w:rsidR="00A9152A" w:rsidRPr="00A9152A" w:rsidRDefault="00A9152A" w:rsidP="00A9152A">
            <w:pPr>
              <w:rPr>
                <w:rFonts w:ascii="Calibri" w:eastAsia="Calibri" w:hAnsi="Calibri" w:cs="Calibri"/>
                <w:color w:val="000000" w:themeColor="text1"/>
              </w:rPr>
            </w:pPr>
            <w:r>
              <w:rPr>
                <w:rFonts w:ascii="Calibri" w:eastAsia="Calibri" w:hAnsi="Calibri" w:cs="Calibri"/>
                <w:color w:val="000000" w:themeColor="text1"/>
              </w:rPr>
              <w:t xml:space="preserve">- </w:t>
            </w:r>
            <w:r w:rsidRPr="00A9152A">
              <w:rPr>
                <w:rFonts w:ascii="Calibri" w:eastAsia="Calibri" w:hAnsi="Calibri" w:cs="Calibri"/>
                <w:color w:val="000000" w:themeColor="text1"/>
              </w:rPr>
              <w:t>Emission factors (generic and specific) (Art</w:t>
            </w:r>
            <w:r>
              <w:rPr>
                <w:rFonts w:ascii="Calibri" w:eastAsia="Calibri" w:hAnsi="Calibri" w:cs="Calibri"/>
                <w:color w:val="000000" w:themeColor="text1"/>
              </w:rPr>
              <w:t>icle</w:t>
            </w:r>
            <w:r w:rsidRPr="00A9152A">
              <w:rPr>
                <w:rFonts w:ascii="Calibri" w:eastAsia="Calibri" w:hAnsi="Calibri" w:cs="Calibri"/>
                <w:color w:val="000000" w:themeColor="text1"/>
              </w:rPr>
              <w:t xml:space="preserve"> 2(16)-(18)</w:t>
            </w:r>
            <w:proofErr w:type="gramStart"/>
            <w:r w:rsidRPr="00A9152A">
              <w:rPr>
                <w:rFonts w:ascii="Calibri" w:eastAsia="Calibri" w:hAnsi="Calibri" w:cs="Calibri"/>
                <w:color w:val="000000" w:themeColor="text1"/>
              </w:rPr>
              <w:t>)</w:t>
            </w:r>
            <w:r>
              <w:rPr>
                <w:rFonts w:ascii="Calibri" w:eastAsia="Calibri" w:hAnsi="Calibri" w:cs="Calibri"/>
                <w:color w:val="000000" w:themeColor="text1"/>
              </w:rPr>
              <w:t>;</w:t>
            </w:r>
            <w:proofErr w:type="gramEnd"/>
          </w:p>
          <w:p w14:paraId="6D426BE4" w14:textId="7623A2AC" w:rsidR="00A9152A" w:rsidRPr="00A9152A" w:rsidRDefault="00A9152A" w:rsidP="00A9152A">
            <w:pPr>
              <w:rPr>
                <w:rFonts w:ascii="Calibri" w:eastAsia="Calibri" w:hAnsi="Calibri" w:cs="Calibri"/>
                <w:color w:val="000000" w:themeColor="text1"/>
              </w:rPr>
            </w:pPr>
            <w:r>
              <w:rPr>
                <w:rFonts w:ascii="Calibri" w:eastAsia="Calibri" w:hAnsi="Calibri" w:cs="Calibri"/>
                <w:color w:val="000000" w:themeColor="text1"/>
              </w:rPr>
              <w:t xml:space="preserve">- </w:t>
            </w:r>
            <w:r w:rsidRPr="00A9152A">
              <w:rPr>
                <w:rFonts w:ascii="Calibri" w:eastAsia="Calibri" w:hAnsi="Calibri" w:cs="Calibri"/>
                <w:color w:val="000000" w:themeColor="text1"/>
              </w:rPr>
              <w:t>Site-level measurements (Art</w:t>
            </w:r>
            <w:r>
              <w:rPr>
                <w:rFonts w:ascii="Calibri" w:eastAsia="Calibri" w:hAnsi="Calibri" w:cs="Calibri"/>
                <w:color w:val="000000" w:themeColor="text1"/>
              </w:rPr>
              <w:t>icle</w:t>
            </w:r>
            <w:r w:rsidRPr="00A9152A">
              <w:rPr>
                <w:rFonts w:ascii="Calibri" w:eastAsia="Calibri" w:hAnsi="Calibri" w:cs="Calibri"/>
                <w:color w:val="000000" w:themeColor="text1"/>
              </w:rPr>
              <w:t xml:space="preserve"> 2(21)-(22)</w:t>
            </w:r>
            <w:proofErr w:type="gramStart"/>
            <w:r w:rsidRPr="00A9152A">
              <w:rPr>
                <w:rFonts w:ascii="Calibri" w:eastAsia="Calibri" w:hAnsi="Calibri" w:cs="Calibri"/>
                <w:color w:val="000000" w:themeColor="text1"/>
              </w:rPr>
              <w:t>)</w:t>
            </w:r>
            <w:r>
              <w:rPr>
                <w:rFonts w:ascii="Calibri" w:eastAsia="Calibri" w:hAnsi="Calibri" w:cs="Calibri"/>
                <w:color w:val="000000" w:themeColor="text1"/>
              </w:rPr>
              <w:t>;</w:t>
            </w:r>
            <w:proofErr w:type="gramEnd"/>
          </w:p>
          <w:p w14:paraId="23306139" w14:textId="5A189D82" w:rsidR="00A9152A" w:rsidRPr="00A9152A" w:rsidRDefault="00A9152A" w:rsidP="00A9152A">
            <w:pPr>
              <w:rPr>
                <w:rFonts w:ascii="Calibri" w:eastAsia="Calibri" w:hAnsi="Calibri" w:cs="Calibri"/>
                <w:color w:val="000000" w:themeColor="text1"/>
              </w:rPr>
            </w:pPr>
            <w:r>
              <w:rPr>
                <w:rFonts w:ascii="Calibri" w:eastAsia="Calibri" w:hAnsi="Calibri" w:cs="Calibri"/>
                <w:color w:val="000000" w:themeColor="text1"/>
              </w:rPr>
              <w:t xml:space="preserve">- </w:t>
            </w:r>
            <w:r w:rsidRPr="00A9152A">
              <w:rPr>
                <w:rFonts w:ascii="Calibri" w:eastAsia="Calibri" w:hAnsi="Calibri" w:cs="Calibri"/>
                <w:color w:val="000000" w:themeColor="text1"/>
              </w:rPr>
              <w:t>Mandatory LDAR surveys (Art</w:t>
            </w:r>
            <w:r>
              <w:rPr>
                <w:rFonts w:ascii="Calibri" w:eastAsia="Calibri" w:hAnsi="Calibri" w:cs="Calibri"/>
                <w:color w:val="000000" w:themeColor="text1"/>
              </w:rPr>
              <w:t>icle</w:t>
            </w:r>
            <w:r w:rsidRPr="00A9152A">
              <w:rPr>
                <w:rFonts w:ascii="Calibri" w:eastAsia="Calibri" w:hAnsi="Calibri" w:cs="Calibri"/>
                <w:color w:val="000000" w:themeColor="text1"/>
              </w:rPr>
              <w:t xml:space="preserve"> 2(25), Art</w:t>
            </w:r>
            <w:r>
              <w:rPr>
                <w:rFonts w:ascii="Calibri" w:eastAsia="Calibri" w:hAnsi="Calibri" w:cs="Calibri"/>
                <w:color w:val="000000" w:themeColor="text1"/>
              </w:rPr>
              <w:t>icle</w:t>
            </w:r>
            <w:r w:rsidRPr="00A9152A">
              <w:rPr>
                <w:rFonts w:ascii="Calibri" w:eastAsia="Calibri" w:hAnsi="Calibri" w:cs="Calibri"/>
                <w:color w:val="000000" w:themeColor="text1"/>
              </w:rPr>
              <w:t xml:space="preserve"> 14</w:t>
            </w:r>
            <w:r w:rsidR="00C437F4">
              <w:rPr>
                <w:rFonts w:ascii="Calibri" w:eastAsia="Calibri" w:hAnsi="Calibri" w:cs="Calibri"/>
                <w:color w:val="000000" w:themeColor="text1"/>
              </w:rPr>
              <w:t xml:space="preserve"> and</w:t>
            </w:r>
            <w:r w:rsidRPr="00A9152A">
              <w:rPr>
                <w:rFonts w:ascii="Calibri" w:eastAsia="Calibri" w:hAnsi="Calibri" w:cs="Calibri"/>
                <w:color w:val="000000" w:themeColor="text1"/>
              </w:rPr>
              <w:t xml:space="preserve"> Annex I</w:t>
            </w:r>
            <w:proofErr w:type="gramStart"/>
            <w:r w:rsidRPr="00A9152A">
              <w:rPr>
                <w:rFonts w:ascii="Calibri" w:eastAsia="Calibri" w:hAnsi="Calibri" w:cs="Calibri"/>
                <w:color w:val="000000" w:themeColor="text1"/>
              </w:rPr>
              <w:t>)</w:t>
            </w:r>
            <w:r w:rsidR="00C437F4">
              <w:rPr>
                <w:rFonts w:ascii="Calibri" w:eastAsia="Calibri" w:hAnsi="Calibri" w:cs="Calibri"/>
                <w:color w:val="000000" w:themeColor="text1"/>
              </w:rPr>
              <w:t>;</w:t>
            </w:r>
            <w:proofErr w:type="gramEnd"/>
          </w:p>
          <w:p w14:paraId="40161F5A" w14:textId="16795C56" w:rsidR="00ED5789" w:rsidRPr="00CF2E7C" w:rsidRDefault="00A9152A" w:rsidP="00A9152A">
            <w:pPr>
              <w:rPr>
                <w:rFonts w:ascii="Calibri" w:eastAsia="Calibri" w:hAnsi="Calibri" w:cs="Calibri"/>
                <w:color w:val="000000" w:themeColor="text1"/>
              </w:rPr>
            </w:pPr>
            <w:r>
              <w:rPr>
                <w:rFonts w:ascii="Calibri" w:eastAsia="Calibri" w:hAnsi="Calibri" w:cs="Calibri"/>
                <w:color w:val="000000" w:themeColor="text1"/>
              </w:rPr>
              <w:t xml:space="preserve">- </w:t>
            </w:r>
            <w:r w:rsidRPr="00A9152A">
              <w:rPr>
                <w:rFonts w:ascii="Calibri" w:eastAsia="Calibri" w:hAnsi="Calibri" w:cs="Calibri"/>
                <w:color w:val="000000" w:themeColor="text1"/>
              </w:rPr>
              <w:t xml:space="preserve">The requirement to perform quantification and reporting by source, based on either measurements or detailed engineering estimates (Recitals </w:t>
            </w:r>
            <w:r w:rsidR="00F81B8F">
              <w:rPr>
                <w:rFonts w:ascii="Calibri" w:eastAsia="Calibri" w:hAnsi="Calibri" w:cs="Calibri"/>
                <w:color w:val="000000" w:themeColor="text1"/>
              </w:rPr>
              <w:t>(</w:t>
            </w:r>
            <w:r w:rsidRPr="00A9152A">
              <w:rPr>
                <w:rFonts w:ascii="Calibri" w:eastAsia="Calibri" w:hAnsi="Calibri" w:cs="Calibri"/>
                <w:color w:val="000000" w:themeColor="text1"/>
              </w:rPr>
              <w:t>27</w:t>
            </w:r>
            <w:r w:rsidR="00F81B8F">
              <w:rPr>
                <w:rFonts w:ascii="Calibri" w:eastAsia="Calibri" w:hAnsi="Calibri" w:cs="Calibri"/>
                <w:color w:val="000000" w:themeColor="text1"/>
              </w:rPr>
              <w:t>)</w:t>
            </w:r>
            <w:r>
              <w:rPr>
                <w:rFonts w:ascii="Calibri" w:eastAsia="Calibri" w:hAnsi="Calibri" w:cs="Calibri"/>
                <w:color w:val="000000" w:themeColor="text1"/>
              </w:rPr>
              <w:t>-</w:t>
            </w:r>
            <w:r w:rsidR="00F81B8F">
              <w:rPr>
                <w:rFonts w:ascii="Calibri" w:eastAsia="Calibri" w:hAnsi="Calibri" w:cs="Calibri"/>
                <w:color w:val="000000" w:themeColor="text1"/>
              </w:rPr>
              <w:t>(</w:t>
            </w:r>
            <w:r w:rsidRPr="00A9152A">
              <w:rPr>
                <w:rFonts w:ascii="Calibri" w:eastAsia="Calibri" w:hAnsi="Calibri" w:cs="Calibri"/>
                <w:color w:val="000000" w:themeColor="text1"/>
              </w:rPr>
              <w:t>29</w:t>
            </w:r>
            <w:r w:rsidR="00F81B8F">
              <w:rPr>
                <w:rFonts w:ascii="Calibri" w:eastAsia="Calibri" w:hAnsi="Calibri" w:cs="Calibri"/>
                <w:color w:val="000000" w:themeColor="text1"/>
              </w:rPr>
              <w:t>)</w:t>
            </w:r>
            <w:r w:rsidRPr="00A9152A">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400FC86F"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38892942"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3BFF0E36"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42D0FB95"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665049B6"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3128A901" w:rsidR="002F0752" w:rsidRPr="00CF2E7C" w:rsidRDefault="0029345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34DE79B" w14:textId="77777777" w:rsidR="00CE2394" w:rsidRPr="00CE2394" w:rsidRDefault="00CE2394" w:rsidP="00CE2394">
            <w:pPr>
              <w:rPr>
                <w:rFonts w:ascii="Calibri" w:eastAsia="Calibri" w:hAnsi="Calibri" w:cs="Calibri"/>
                <w:color w:val="000000" w:themeColor="text1"/>
              </w:rPr>
            </w:pPr>
            <w:r w:rsidRPr="00CE2394">
              <w:rPr>
                <w:rFonts w:ascii="Calibri" w:eastAsia="Calibri" w:hAnsi="Calibri" w:cs="Calibri"/>
                <w:color w:val="000000" w:themeColor="text1"/>
              </w:rPr>
              <w:t>The Regulation requires both:</w:t>
            </w:r>
          </w:p>
          <w:p w14:paraId="79F213EC" w14:textId="4ABC04FC" w:rsidR="002F0752" w:rsidRDefault="00CE2394" w:rsidP="00CF2E7C">
            <w:pPr>
              <w:rPr>
                <w:rFonts w:ascii="Calibri" w:eastAsia="Calibri" w:hAnsi="Calibri" w:cs="Calibri"/>
                <w:color w:val="000000" w:themeColor="text1"/>
              </w:rPr>
            </w:pPr>
            <w:r>
              <w:rPr>
                <w:rFonts w:ascii="Calibri" w:eastAsia="Calibri" w:hAnsi="Calibri" w:cs="Calibri"/>
                <w:color w:val="000000" w:themeColor="text1"/>
              </w:rPr>
              <w:t xml:space="preserve">- </w:t>
            </w:r>
            <w:r w:rsidRPr="00CE2394">
              <w:rPr>
                <w:rFonts w:ascii="Calibri" w:eastAsia="Calibri" w:hAnsi="Calibri" w:cs="Calibri"/>
                <w:color w:val="000000" w:themeColor="text1"/>
              </w:rPr>
              <w:t>Source-level measurement and reporting (Recital (27) and Article 2(15)</w:t>
            </w:r>
            <w:proofErr w:type="gramStart"/>
            <w:r w:rsidRPr="00CE2394">
              <w:rPr>
                <w:rFonts w:ascii="Calibri" w:eastAsia="Calibri" w:hAnsi="Calibri" w:cs="Calibri"/>
                <w:color w:val="000000" w:themeColor="text1"/>
              </w:rPr>
              <w:t>–(</w:t>
            </w:r>
            <w:proofErr w:type="gramEnd"/>
            <w:r w:rsidRPr="00CE2394">
              <w:rPr>
                <w:rFonts w:ascii="Calibri" w:eastAsia="Calibri" w:hAnsi="Calibri" w:cs="Calibri"/>
                <w:color w:val="000000" w:themeColor="text1"/>
              </w:rPr>
              <w:t>20)); and</w:t>
            </w:r>
          </w:p>
          <w:p w14:paraId="6599D03A" w14:textId="7D5BEDBA" w:rsidR="00CE2394" w:rsidRPr="00CF2E7C" w:rsidRDefault="00CE2394" w:rsidP="00CF2E7C">
            <w:pPr>
              <w:rPr>
                <w:rFonts w:ascii="Calibri" w:eastAsia="Calibri" w:hAnsi="Calibri" w:cs="Calibri"/>
                <w:color w:val="000000" w:themeColor="text1"/>
              </w:rPr>
            </w:pPr>
            <w:r>
              <w:rPr>
                <w:rFonts w:ascii="Calibri" w:eastAsia="Calibri" w:hAnsi="Calibri" w:cs="Calibri"/>
                <w:color w:val="000000" w:themeColor="text1"/>
              </w:rPr>
              <w:t xml:space="preserve">- </w:t>
            </w:r>
            <w:r w:rsidR="00F81B8F" w:rsidRPr="00F81B8F">
              <w:rPr>
                <w:rFonts w:ascii="Calibri" w:eastAsia="Calibri" w:hAnsi="Calibri" w:cs="Calibri"/>
                <w:color w:val="000000" w:themeColor="text1"/>
              </w:rPr>
              <w:t>Site-level measurement to complement and reconcile the source-level estimates (Recital (29), Article 2(21)</w:t>
            </w:r>
            <w:r w:rsidR="00F81B8F">
              <w:rPr>
                <w:rFonts w:ascii="Calibri" w:eastAsia="Calibri" w:hAnsi="Calibri" w:cs="Calibri"/>
                <w:color w:val="000000" w:themeColor="text1"/>
              </w:rPr>
              <w:t>-</w:t>
            </w:r>
            <w:r w:rsidR="00F81B8F" w:rsidRPr="00F81B8F">
              <w:rPr>
                <w:rFonts w:ascii="Calibri" w:eastAsia="Calibri" w:hAnsi="Calibri" w:cs="Calibri"/>
                <w:color w:val="000000" w:themeColor="text1"/>
              </w:rPr>
              <w:t>(22)).</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361BD95C" w:rsidR="002F0752" w:rsidRPr="00CF2E7C" w:rsidRDefault="00DD5C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656E636E" w:rsidR="002F0752" w:rsidRPr="00CF2E7C" w:rsidRDefault="00DD5C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50E072E0" w:rsidR="002F0752" w:rsidRPr="00CF2E7C" w:rsidRDefault="00DD5C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4DA3D48A"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211D91D2" w:rsidR="002F0752" w:rsidRPr="00CF2E7C" w:rsidRDefault="00DD5C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066FD70C" w:rsidR="002F0752" w:rsidRPr="00CF2E7C" w:rsidRDefault="00DD5C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35686C54"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02109069" w:rsidR="002F0752" w:rsidRPr="00CF2E7C" w:rsidRDefault="00477E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5565FABD" w:rsidR="002F0752" w:rsidRPr="00CF2E7C" w:rsidRDefault="00A207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2BFC806" w:rsidR="002F0752" w:rsidRPr="00CF2E7C" w:rsidRDefault="00CA4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695A92D4"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D1ADA2D" w14:textId="361796C8" w:rsidR="003C1B65" w:rsidRDefault="008F3208" w:rsidP="00CF2E7C">
            <w:pPr>
              <w:rPr>
                <w:rFonts w:ascii="Calibri" w:eastAsia="Calibri" w:hAnsi="Calibri" w:cs="Calibri"/>
                <w:color w:val="000000" w:themeColor="text1"/>
              </w:rPr>
            </w:pPr>
            <w:r w:rsidRPr="008F3208">
              <w:rPr>
                <w:rFonts w:ascii="Calibri" w:eastAsia="Calibri" w:hAnsi="Calibri" w:cs="Calibri"/>
                <w:color w:val="000000" w:themeColor="text1"/>
              </w:rPr>
              <w:t>Operators must mitigate fugitive emissions by conducting leak detection and repair (LDAR) surveys, identifying leaks and taking corrective action</w:t>
            </w:r>
            <w:r>
              <w:rPr>
                <w:rFonts w:ascii="Calibri" w:eastAsia="Calibri" w:hAnsi="Calibri" w:cs="Calibri"/>
                <w:color w:val="000000" w:themeColor="text1"/>
              </w:rPr>
              <w:t xml:space="preserve"> (Article</w:t>
            </w:r>
            <w:r w:rsidR="003C1B65">
              <w:rPr>
                <w:rFonts w:ascii="Calibri" w:eastAsia="Calibri" w:hAnsi="Calibri" w:cs="Calibri"/>
                <w:color w:val="000000" w:themeColor="text1"/>
              </w:rPr>
              <w:t>s</w:t>
            </w:r>
            <w:r>
              <w:rPr>
                <w:rFonts w:ascii="Calibri" w:eastAsia="Calibri" w:hAnsi="Calibri" w:cs="Calibri"/>
                <w:color w:val="000000" w:themeColor="text1"/>
              </w:rPr>
              <w:t xml:space="preserve"> 1(1)</w:t>
            </w:r>
            <w:r w:rsidR="003C1B65">
              <w:rPr>
                <w:rFonts w:ascii="Calibri" w:eastAsia="Calibri" w:hAnsi="Calibri" w:cs="Calibri"/>
                <w:color w:val="000000" w:themeColor="text1"/>
              </w:rPr>
              <w:t xml:space="preserve"> and 14</w:t>
            </w:r>
            <w:r>
              <w:rPr>
                <w:rFonts w:ascii="Calibri" w:eastAsia="Calibri" w:hAnsi="Calibri" w:cs="Calibri"/>
                <w:color w:val="000000" w:themeColor="text1"/>
              </w:rPr>
              <w:t>, Recitals (32)-(33))</w:t>
            </w:r>
            <w:r w:rsidRPr="008F3208">
              <w:rPr>
                <w:rFonts w:ascii="Calibri" w:eastAsia="Calibri" w:hAnsi="Calibri" w:cs="Calibri"/>
                <w:color w:val="000000" w:themeColor="text1"/>
              </w:rPr>
              <w:t>.</w:t>
            </w:r>
            <w:r w:rsidR="003C1B65">
              <w:rPr>
                <w:rFonts w:ascii="Calibri" w:eastAsia="Calibri" w:hAnsi="Calibri" w:cs="Calibri"/>
                <w:color w:val="000000" w:themeColor="text1"/>
              </w:rPr>
              <w:t xml:space="preserve"> </w:t>
            </w:r>
            <w:r w:rsidR="00AC07A2" w:rsidRPr="00AC07A2">
              <w:rPr>
                <w:rFonts w:ascii="Calibri" w:eastAsia="Calibri" w:hAnsi="Calibri" w:cs="Calibri"/>
                <w:color w:val="000000" w:themeColor="text1"/>
              </w:rPr>
              <w:t>This is a legal obligation, not a recommendation.</w:t>
            </w:r>
          </w:p>
          <w:p w14:paraId="147FD9A3" w14:textId="7AE98EDE" w:rsidR="002F0752" w:rsidRPr="00CF2E7C" w:rsidRDefault="003C1B65" w:rsidP="00CF2E7C">
            <w:pPr>
              <w:rPr>
                <w:rFonts w:ascii="Calibri" w:eastAsia="Calibri" w:hAnsi="Calibri" w:cs="Calibri"/>
                <w:color w:val="000000" w:themeColor="text1"/>
              </w:rPr>
            </w:pPr>
            <w:r w:rsidRPr="003C1B65">
              <w:rPr>
                <w:rFonts w:ascii="Calibri" w:eastAsia="Calibri" w:hAnsi="Calibri" w:cs="Calibri"/>
                <w:color w:val="000000" w:themeColor="text1"/>
              </w:rPr>
              <w:t>There is no target to describe, as the policy tool requires mitigation via operational measures, but does not define a numerical or percentage-based target for fugitive methane emissions.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2BC0BBD" w:rsidR="002F0752" w:rsidRPr="00CF2E7C" w:rsidRDefault="002449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331B5815" w:rsidR="002F0752" w:rsidRPr="00CF2E7C" w:rsidRDefault="002449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3B0EF260" w:rsidR="002F0752" w:rsidRPr="00CF2E7C" w:rsidRDefault="002449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4775110F" w:rsidR="002F0752" w:rsidRPr="00CF2E7C" w:rsidRDefault="0024493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13ACF6B3" w:rsidR="002F0752" w:rsidRPr="00CF2E7C" w:rsidRDefault="00EE56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28FBB161" w:rsidR="002F0752" w:rsidRPr="00CF2E7C" w:rsidRDefault="00EE561D" w:rsidP="00CF2E7C">
            <w:pPr>
              <w:rPr>
                <w:rFonts w:ascii="Calibri" w:eastAsia="Calibri" w:hAnsi="Calibri" w:cs="Calibri"/>
                <w:color w:val="000000" w:themeColor="text1"/>
              </w:rPr>
            </w:pPr>
            <w:r w:rsidRPr="00EE561D">
              <w:rPr>
                <w:rFonts w:ascii="Calibri" w:eastAsia="Calibri" w:hAnsi="Calibri" w:cs="Calibri"/>
                <w:color w:val="000000" w:themeColor="text1"/>
              </w:rPr>
              <w:t>The Regulation does not prescribe a single universal frequency</w:t>
            </w:r>
            <w:r>
              <w:rPr>
                <w:rFonts w:ascii="Calibri" w:eastAsia="Calibri" w:hAnsi="Calibri" w:cs="Calibri"/>
                <w:color w:val="000000" w:themeColor="text1"/>
              </w:rPr>
              <w:t xml:space="preserve">. </w:t>
            </w:r>
            <w:r w:rsidRPr="00EE561D">
              <w:rPr>
                <w:rFonts w:ascii="Calibri" w:eastAsia="Calibri" w:hAnsi="Calibri" w:cs="Calibri"/>
                <w:color w:val="000000" w:themeColor="text1"/>
              </w:rPr>
              <w:t>Instead, it establishes a tiered, risk-based frequency system that depends o</w:t>
            </w:r>
            <w:r>
              <w:rPr>
                <w:rFonts w:ascii="Calibri" w:eastAsia="Calibri" w:hAnsi="Calibri" w:cs="Calibri"/>
                <w:color w:val="000000" w:themeColor="text1"/>
              </w:rPr>
              <w:t>n component type, leak risk, performance of the operator</w:t>
            </w:r>
            <w:r w:rsidR="00E72DB0">
              <w:rPr>
                <w:rFonts w:ascii="Calibri" w:eastAsia="Calibri" w:hAnsi="Calibri" w:cs="Calibri"/>
                <w:color w:val="000000" w:themeColor="text1"/>
              </w:rPr>
              <w:t xml:space="preserve"> and </w:t>
            </w:r>
            <w:r>
              <w:rPr>
                <w:rFonts w:ascii="Calibri" w:eastAsia="Calibri" w:hAnsi="Calibri" w:cs="Calibri"/>
                <w:color w:val="000000" w:themeColor="text1"/>
              </w:rPr>
              <w:t>detection technology used</w:t>
            </w:r>
            <w:r w:rsidR="004A41E1">
              <w:rPr>
                <w:rFonts w:ascii="Calibri" w:eastAsia="Calibri" w:hAnsi="Calibri" w:cs="Calibri"/>
                <w:color w:val="000000" w:themeColor="text1"/>
              </w:rPr>
              <w:t xml:space="preserve"> (Recitals (35)-(36)</w:t>
            </w:r>
            <w:r w:rsidR="00FE640B">
              <w:rPr>
                <w:rFonts w:ascii="Calibri" w:eastAsia="Calibri" w:hAnsi="Calibri" w:cs="Calibri"/>
                <w:color w:val="000000" w:themeColor="text1"/>
              </w:rPr>
              <w:t xml:space="preserve"> and (38), Article 14(2)</w:t>
            </w:r>
            <w:r w:rsidR="00E72DB0">
              <w:rPr>
                <w:rFonts w:ascii="Calibri" w:eastAsia="Calibri" w:hAnsi="Calibri" w:cs="Calibri"/>
                <w:color w:val="000000" w:themeColor="text1"/>
              </w:rPr>
              <w:t xml:space="preserve"> and Annex, Part I</w:t>
            </w:r>
            <w:r w:rsidR="004A41E1">
              <w:rPr>
                <w:rFonts w:ascii="Calibri" w:eastAsia="Calibri" w:hAnsi="Calibri" w:cs="Calibri"/>
                <w:color w:val="000000" w:themeColor="text1"/>
              </w:rPr>
              <w:t>)</w:t>
            </w:r>
            <w:r>
              <w:rPr>
                <w:rFonts w:ascii="Calibri" w:eastAsia="Calibri" w:hAnsi="Calibri" w:cs="Calibri"/>
                <w:color w:val="000000" w:themeColor="text1"/>
              </w:rPr>
              <w:t>.</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0763A039" w:rsidR="002F0752" w:rsidRPr="00CF2E7C" w:rsidRDefault="000071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5F66601" w:rsidR="002F0752" w:rsidRPr="00CF2E7C" w:rsidRDefault="000071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015A4790" w:rsidR="002F0752" w:rsidRPr="00CF2E7C" w:rsidRDefault="007775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5540707D" w:rsidR="002F0752" w:rsidRPr="00CF2E7C" w:rsidRDefault="007775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4EA7FC7" w:rsidR="002F0752" w:rsidRPr="00CF2E7C" w:rsidRDefault="006C29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3565976F" w:rsidR="002F0752" w:rsidRPr="00CF2E7C" w:rsidRDefault="006C29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391195D6" w:rsidR="002F0752" w:rsidRPr="00CF2E7C" w:rsidRDefault="007B61A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2AE0EFA"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1A817DAA"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7B61A2" w:rsidRDefault="002F0752" w:rsidP="00CF2E7C">
            <w:pPr>
              <w:rPr>
                <w:rFonts w:ascii="Calibri" w:eastAsia="Calibri" w:hAnsi="Calibri" w:cs="Calibri"/>
                <w:color w:val="000000" w:themeColor="text1"/>
              </w:rPr>
            </w:pPr>
          </w:p>
        </w:tc>
        <w:tc>
          <w:tcPr>
            <w:tcW w:w="1632" w:type="dxa"/>
            <w:vAlign w:val="center"/>
          </w:tcPr>
          <w:p w14:paraId="7376823E" w14:textId="74BEAB83"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7B61A2" w:rsidRDefault="002F0752" w:rsidP="00CF2E7C">
            <w:pPr>
              <w:rPr>
                <w:rFonts w:ascii="Calibri" w:eastAsia="Calibri" w:hAnsi="Calibri" w:cs="Calibri"/>
                <w:color w:val="000000" w:themeColor="text1"/>
              </w:rPr>
            </w:pPr>
          </w:p>
        </w:tc>
        <w:tc>
          <w:tcPr>
            <w:tcW w:w="1632" w:type="dxa"/>
            <w:vAlign w:val="center"/>
          </w:tcPr>
          <w:p w14:paraId="3EE4C822" w14:textId="4F67C419"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7B61A2" w:rsidRDefault="002F0752" w:rsidP="00CF2E7C">
            <w:pPr>
              <w:rPr>
                <w:rFonts w:ascii="Calibri" w:eastAsia="Calibri" w:hAnsi="Calibri" w:cs="Calibri"/>
                <w:color w:val="000000" w:themeColor="text1"/>
              </w:rPr>
            </w:pPr>
          </w:p>
        </w:tc>
        <w:tc>
          <w:tcPr>
            <w:tcW w:w="1632" w:type="dxa"/>
            <w:vAlign w:val="center"/>
          </w:tcPr>
          <w:p w14:paraId="098E3041" w14:textId="5ADADA42"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18F3F464"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c>
          <w:tcPr>
            <w:tcW w:w="1632" w:type="dxa"/>
            <w:vAlign w:val="center"/>
          </w:tcPr>
          <w:p w14:paraId="1A9CA965" w14:textId="77777777" w:rsidR="002F0752" w:rsidRPr="007B61A2"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61F34EB5" w:rsidR="002F0752" w:rsidRPr="007B61A2" w:rsidRDefault="007B61A2" w:rsidP="00CF2E7C">
            <w:pPr>
              <w:rPr>
                <w:rFonts w:ascii="Calibri" w:eastAsia="Calibri" w:hAnsi="Calibri" w:cs="Calibri"/>
                <w:color w:val="000000" w:themeColor="text1"/>
              </w:rPr>
            </w:pPr>
            <w:r w:rsidRPr="007B61A2">
              <w:rPr>
                <w:rFonts w:ascii="Calibri" w:eastAsia="Calibri" w:hAnsi="Calibri" w:cs="Calibri"/>
                <w:color w:val="000000" w:themeColor="text1"/>
              </w:rPr>
              <w:t>X</w:t>
            </w:r>
          </w:p>
        </w:tc>
        <w:tc>
          <w:tcPr>
            <w:tcW w:w="1632" w:type="dxa"/>
            <w:vAlign w:val="center"/>
          </w:tcPr>
          <w:p w14:paraId="3650209D" w14:textId="77777777" w:rsidR="002F0752" w:rsidRPr="007B61A2"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7F58508" w14:textId="636603E1" w:rsidR="00F85F89" w:rsidRDefault="00CC1EA7" w:rsidP="00CC1EA7">
            <w:pPr>
              <w:pStyle w:val="ListParagraph"/>
              <w:numPr>
                <w:ilvl w:val="0"/>
                <w:numId w:val="51"/>
              </w:numPr>
              <w:rPr>
                <w:rFonts w:ascii="Calibri" w:eastAsia="Calibri" w:hAnsi="Calibri" w:cs="Calibri"/>
              </w:rPr>
            </w:pPr>
            <w:r w:rsidRPr="00CC1EA7">
              <w:rPr>
                <w:rFonts w:ascii="Calibri" w:eastAsia="Calibri" w:hAnsi="Calibri" w:cs="Calibri"/>
              </w:rPr>
              <w:t>The Regulation requires a general prohibition on venting</w:t>
            </w:r>
            <w:r>
              <w:rPr>
                <w:rFonts w:ascii="Calibri" w:eastAsia="Calibri" w:hAnsi="Calibri" w:cs="Calibri"/>
              </w:rPr>
              <w:t xml:space="preserve"> </w:t>
            </w:r>
            <w:r w:rsidR="00775EB8">
              <w:rPr>
                <w:rFonts w:ascii="Calibri" w:eastAsia="Calibri" w:hAnsi="Calibri" w:cs="Calibri"/>
              </w:rPr>
              <w:t>(Article 15(1))</w:t>
            </w:r>
            <w:r>
              <w:rPr>
                <w:rFonts w:ascii="Calibri" w:eastAsia="Calibri" w:hAnsi="Calibri" w:cs="Calibri"/>
              </w:rPr>
              <w:t>,</w:t>
            </w:r>
            <w:r w:rsidR="00775EB8">
              <w:rPr>
                <w:rFonts w:ascii="Calibri" w:eastAsia="Calibri" w:hAnsi="Calibri" w:cs="Calibri"/>
              </w:rPr>
              <w:t xml:space="preserve"> with exceptions on (2).</w:t>
            </w:r>
          </w:p>
          <w:p w14:paraId="3AD382C8" w14:textId="77777777" w:rsidR="00CC1EA7" w:rsidRDefault="00CC1EA7" w:rsidP="00CC1EA7">
            <w:pPr>
              <w:pStyle w:val="ListParagraph"/>
              <w:rPr>
                <w:rFonts w:ascii="Calibri" w:eastAsia="Calibri" w:hAnsi="Calibri" w:cs="Calibri"/>
              </w:rPr>
            </w:pPr>
          </w:p>
          <w:p w14:paraId="4E04E3F3" w14:textId="3EA1A994" w:rsidR="009D5B18" w:rsidRPr="00CC1EA7" w:rsidRDefault="009D5B18" w:rsidP="00CC1EA7">
            <w:pPr>
              <w:pStyle w:val="ListParagraph"/>
              <w:numPr>
                <w:ilvl w:val="0"/>
                <w:numId w:val="51"/>
              </w:numPr>
              <w:rPr>
                <w:rFonts w:ascii="Calibri" w:eastAsia="Calibri" w:hAnsi="Calibri" w:cs="Calibri"/>
              </w:rPr>
            </w:pPr>
            <w:r w:rsidRPr="00CC1EA7">
              <w:rPr>
                <w:rFonts w:ascii="Calibri" w:eastAsia="Calibri" w:hAnsi="Calibri" w:cs="Calibri"/>
              </w:rPr>
              <w:t>The Regulation requires both immediate notification and annual reporting of venting and flaring events</w:t>
            </w:r>
            <w:r w:rsidRPr="00CC1EA7">
              <w:rPr>
                <w:rFonts w:ascii="Calibri" w:eastAsia="Calibri" w:hAnsi="Calibri" w:cs="Calibri"/>
              </w:rPr>
              <w:t xml:space="preserve"> (Article 16)</w:t>
            </w:r>
            <w:r w:rsidRPr="00CC1EA7">
              <w:rPr>
                <w:rFonts w:ascii="Calibri" w:eastAsia="Calibri" w:hAnsi="Calibri" w:cs="Calibri"/>
              </w:rPr>
              <w:t>.</w:t>
            </w:r>
          </w:p>
          <w:p w14:paraId="60663AD3" w14:textId="77777777" w:rsidR="00F85F89" w:rsidRPr="00F85F89" w:rsidRDefault="00F85F89" w:rsidP="00F85F89">
            <w:pPr>
              <w:pStyle w:val="ListParagraph"/>
              <w:rPr>
                <w:rFonts w:ascii="Calibri" w:eastAsia="Calibri" w:hAnsi="Calibri" w:cs="Calibri"/>
              </w:rPr>
            </w:pPr>
          </w:p>
          <w:p w14:paraId="0D4D1BF1" w14:textId="00C637DB" w:rsidR="00F85F89" w:rsidRDefault="00803B55" w:rsidP="00F85F89">
            <w:pPr>
              <w:pStyle w:val="ListParagraph"/>
              <w:numPr>
                <w:ilvl w:val="0"/>
                <w:numId w:val="51"/>
              </w:numPr>
              <w:rPr>
                <w:rFonts w:ascii="Calibri" w:eastAsia="Calibri" w:hAnsi="Calibri" w:cs="Calibri"/>
              </w:rPr>
            </w:pPr>
            <w:r w:rsidRPr="00803B55">
              <w:rPr>
                <w:rFonts w:ascii="Calibri" w:eastAsia="Calibri" w:hAnsi="Calibri" w:cs="Calibri"/>
              </w:rPr>
              <w:t>The Regulation requires competent authorities to monitor compliance through inspections</w:t>
            </w:r>
            <w:r>
              <w:rPr>
                <w:rFonts w:ascii="Calibri" w:eastAsia="Calibri" w:hAnsi="Calibri" w:cs="Calibri"/>
              </w:rPr>
              <w:t xml:space="preserve"> (Article 25(1))</w:t>
            </w:r>
            <w:r w:rsidRPr="00803B55">
              <w:rPr>
                <w:rFonts w:ascii="Calibri" w:eastAsia="Calibri" w:hAnsi="Calibri" w:cs="Calibri"/>
              </w:rPr>
              <w:t>.</w:t>
            </w:r>
          </w:p>
          <w:p w14:paraId="04018BE1" w14:textId="77777777" w:rsidR="00F85F89" w:rsidRPr="00F85F89" w:rsidRDefault="00F85F89" w:rsidP="00F85F89">
            <w:pPr>
              <w:pStyle w:val="ListParagraph"/>
              <w:rPr>
                <w:rFonts w:ascii="Calibri" w:eastAsia="Calibri" w:hAnsi="Calibri" w:cs="Calibri"/>
              </w:rPr>
            </w:pPr>
          </w:p>
          <w:p w14:paraId="5CE28F10" w14:textId="2CADC08C" w:rsidR="00F85F89" w:rsidRDefault="00803B55" w:rsidP="00F85F89">
            <w:pPr>
              <w:pStyle w:val="ListParagraph"/>
              <w:numPr>
                <w:ilvl w:val="0"/>
                <w:numId w:val="51"/>
              </w:numPr>
              <w:rPr>
                <w:rFonts w:ascii="Calibri" w:eastAsia="Calibri" w:hAnsi="Calibri" w:cs="Calibri"/>
              </w:rPr>
            </w:pPr>
            <w:r w:rsidRPr="00803B55">
              <w:rPr>
                <w:rFonts w:ascii="Calibri" w:eastAsia="Calibri" w:hAnsi="Calibri" w:cs="Calibri"/>
              </w:rPr>
              <w:t xml:space="preserve">The Regulation requires </w:t>
            </w:r>
            <w:r w:rsidR="00346682" w:rsidRPr="00346682">
              <w:rPr>
                <w:rFonts w:ascii="Calibri" w:eastAsia="Calibri" w:hAnsi="Calibri" w:cs="Calibri"/>
              </w:rPr>
              <w:t>operators to demonstrate why more environmentally sound alternatives could not be used</w:t>
            </w:r>
            <w:r w:rsidR="00346682">
              <w:rPr>
                <w:rFonts w:ascii="Calibri" w:eastAsia="Calibri" w:hAnsi="Calibri" w:cs="Calibri"/>
              </w:rPr>
              <w:t xml:space="preserve">, </w:t>
            </w:r>
            <w:r w:rsidR="00346682" w:rsidRPr="00346682">
              <w:rPr>
                <w:rFonts w:ascii="Calibri" w:eastAsia="Calibri" w:hAnsi="Calibri" w:cs="Calibri"/>
              </w:rPr>
              <w:t>such as flaring, re-injection, or on-site use</w:t>
            </w:r>
            <w:r w:rsidR="00346682">
              <w:rPr>
                <w:rFonts w:ascii="Calibri" w:eastAsia="Calibri" w:hAnsi="Calibri" w:cs="Calibri"/>
              </w:rPr>
              <w:t xml:space="preserve"> </w:t>
            </w:r>
            <w:r>
              <w:rPr>
                <w:rFonts w:ascii="Calibri" w:eastAsia="Calibri" w:hAnsi="Calibri" w:cs="Calibri"/>
              </w:rPr>
              <w:t>(Article 15(4))</w:t>
            </w:r>
            <w:r w:rsidR="000278A0">
              <w:rPr>
                <w:rFonts w:ascii="Calibri" w:eastAsia="Calibri" w:hAnsi="Calibri" w:cs="Calibri"/>
              </w:rPr>
              <w:t>.</w:t>
            </w:r>
          </w:p>
          <w:p w14:paraId="527331E3" w14:textId="4ED3BC16" w:rsidR="00F85F89" w:rsidRPr="00F85F89" w:rsidRDefault="00F85F89" w:rsidP="00F85F89">
            <w:pPr>
              <w:pStyle w:val="ListParagraph"/>
              <w:rPr>
                <w:rFonts w:ascii="Calibri" w:eastAsia="Calibri" w:hAnsi="Calibri" w:cs="Calibri"/>
              </w:rPr>
            </w:pPr>
          </w:p>
          <w:p w14:paraId="5C61DF44" w14:textId="77777777" w:rsidR="00957935" w:rsidRDefault="00957935" w:rsidP="00F85F89">
            <w:pPr>
              <w:pStyle w:val="ListParagraph"/>
              <w:numPr>
                <w:ilvl w:val="0"/>
                <w:numId w:val="51"/>
              </w:numPr>
              <w:rPr>
                <w:rFonts w:ascii="Calibri" w:eastAsia="Calibri" w:hAnsi="Calibri" w:cs="Calibri"/>
              </w:rPr>
            </w:pPr>
            <w:r w:rsidRPr="00957935">
              <w:rPr>
                <w:rFonts w:ascii="Calibri" w:eastAsia="Calibri" w:hAnsi="Calibri" w:cs="Calibri"/>
              </w:rPr>
              <w:t xml:space="preserve">The Regulation requires specific performance and monitoring standards for flaring equipment. </w:t>
            </w:r>
          </w:p>
          <w:p w14:paraId="361C1680" w14:textId="758076FE" w:rsidR="00957935" w:rsidRDefault="00957935" w:rsidP="00957935">
            <w:pPr>
              <w:pStyle w:val="ListParagraph"/>
              <w:rPr>
                <w:rFonts w:ascii="Calibri" w:eastAsia="Calibri" w:hAnsi="Calibri" w:cs="Calibri"/>
              </w:rPr>
            </w:pPr>
            <w:r w:rsidRPr="00957935">
              <w:rPr>
                <w:rFonts w:ascii="Calibri" w:eastAsia="Calibri" w:hAnsi="Calibri" w:cs="Calibri"/>
              </w:rPr>
              <w:t>Article 17(1)</w:t>
            </w:r>
            <w:r>
              <w:rPr>
                <w:rFonts w:ascii="Calibri" w:eastAsia="Calibri" w:hAnsi="Calibri" w:cs="Calibri"/>
              </w:rPr>
              <w:t>-</w:t>
            </w:r>
            <w:r w:rsidRPr="00957935">
              <w:rPr>
                <w:rFonts w:ascii="Calibri" w:eastAsia="Calibri" w:hAnsi="Calibri" w:cs="Calibri"/>
              </w:rPr>
              <w:t xml:space="preserve">(2) mandates a minimum destruction and removal efficiency (DRE) of 99%, as well as the installation of auto-igniters or continuous pilot burners. These requirements must be met by 5 February 2026 (Article 17(2)). </w:t>
            </w:r>
          </w:p>
          <w:p w14:paraId="14A6A840" w14:textId="62C688F1" w:rsidR="00F85F89" w:rsidRPr="00F85F89" w:rsidRDefault="00957935" w:rsidP="00957935">
            <w:pPr>
              <w:pStyle w:val="ListParagraph"/>
              <w:rPr>
                <w:rFonts w:ascii="Calibri" w:eastAsia="Calibri" w:hAnsi="Calibri" w:cs="Calibri"/>
              </w:rPr>
            </w:pPr>
            <w:r>
              <w:rPr>
                <w:rFonts w:ascii="Calibri" w:eastAsia="Calibri" w:hAnsi="Calibri" w:cs="Calibri"/>
              </w:rPr>
              <w:t>It</w:t>
            </w:r>
            <w:r w:rsidRPr="00957935">
              <w:rPr>
                <w:rFonts w:ascii="Calibri" w:eastAsia="Calibri" w:hAnsi="Calibri" w:cs="Calibri"/>
              </w:rPr>
              <w:t xml:space="preserve"> further imposes obligations for regular inspection and continuous flame supervision, ensuring operational integrity and preventing unintended venting</w:t>
            </w:r>
            <w:r>
              <w:rPr>
                <w:rFonts w:ascii="Calibri" w:eastAsia="Calibri" w:hAnsi="Calibri" w:cs="Calibri"/>
              </w:rPr>
              <w:t xml:space="preserve"> (</w:t>
            </w:r>
            <w:r w:rsidRPr="00957935">
              <w:rPr>
                <w:rFonts w:ascii="Calibri" w:eastAsia="Calibri" w:hAnsi="Calibri" w:cs="Calibri"/>
              </w:rPr>
              <w:t>Article 17(3)</w:t>
            </w:r>
            <w:r>
              <w:rPr>
                <w:rFonts w:ascii="Calibri" w:eastAsia="Calibri" w:hAnsi="Calibri" w:cs="Calibri"/>
              </w:rPr>
              <w:t>-</w:t>
            </w:r>
            <w:r w:rsidRPr="00957935">
              <w:rPr>
                <w:rFonts w:ascii="Calibri" w:eastAsia="Calibri" w:hAnsi="Calibri" w:cs="Calibri"/>
              </w:rPr>
              <w:t>(4)</w:t>
            </w:r>
            <w:r>
              <w:rPr>
                <w:rFonts w:ascii="Calibri" w:eastAsia="Calibri" w:hAnsi="Calibri" w:cs="Calibri"/>
              </w:rPr>
              <w:t>).</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37605C4"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2BE37667"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6A18091" w14:textId="499E7449"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60A4D91"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44E9B3B"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6A5DAF6"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3CDCF82" w:rsidR="002F0752" w:rsidRPr="00CF2E7C" w:rsidRDefault="00CE29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535D827A" w:rsidR="002F0752" w:rsidRPr="00CF2E7C" w:rsidRDefault="00B23F86" w:rsidP="00CF2E7C">
            <w:pPr>
              <w:rPr>
                <w:rFonts w:ascii="Calibri" w:eastAsia="Calibri" w:hAnsi="Calibri" w:cs="Calibri"/>
                <w:color w:val="000000" w:themeColor="text1"/>
              </w:rPr>
            </w:pPr>
            <w:r>
              <w:rPr>
                <w:rFonts w:ascii="Calibri" w:eastAsia="Calibri" w:hAnsi="Calibri" w:cs="Calibri"/>
                <w:color w:val="000000" w:themeColor="text1"/>
              </w:rPr>
              <w:t>The R</w:t>
            </w:r>
            <w:r w:rsidRPr="00B23F86">
              <w:rPr>
                <w:rFonts w:ascii="Calibri" w:eastAsia="Calibri" w:hAnsi="Calibri" w:cs="Calibri"/>
                <w:color w:val="000000" w:themeColor="text1"/>
              </w:rPr>
              <w:t xml:space="preserve">egulation </w:t>
            </w:r>
            <w:r>
              <w:rPr>
                <w:rFonts w:ascii="Calibri" w:eastAsia="Calibri" w:hAnsi="Calibri" w:cs="Calibri"/>
                <w:color w:val="000000" w:themeColor="text1"/>
              </w:rPr>
              <w:t>r</w:t>
            </w:r>
            <w:r w:rsidRPr="00B23F86">
              <w:rPr>
                <w:rFonts w:ascii="Calibri" w:eastAsia="Calibri" w:hAnsi="Calibri" w:cs="Calibri"/>
                <w:color w:val="000000" w:themeColor="text1"/>
              </w:rPr>
              <w:t>equires all flare stacks and combustion devices to meet a destruction and removal efficiency (DRE) by design level of at least 99%, as set out in Article 17(1). This constitutes a binding performance standard.</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68ACF45"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4D0A47B5"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6C7EE1C"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A2362E6"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6F069231"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A96108E"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1A061338" w:rsidR="002F0752" w:rsidRPr="00CF2E7C" w:rsidRDefault="00CF489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69CF035B" w:rsidR="002F0752" w:rsidRPr="00CF2E7C" w:rsidRDefault="00D24F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CC661E8" w14:textId="77777777" w:rsidR="002F0752" w:rsidRDefault="004E1146" w:rsidP="00CF2E7C">
            <w:pPr>
              <w:rPr>
                <w:rFonts w:ascii="Calibri" w:eastAsia="Calibri" w:hAnsi="Calibri" w:cs="Calibri"/>
                <w:color w:val="000000" w:themeColor="text1"/>
              </w:rPr>
            </w:pPr>
            <w:r w:rsidRPr="004E1146">
              <w:rPr>
                <w:rFonts w:ascii="Calibri" w:eastAsia="Calibri" w:hAnsi="Calibri" w:cs="Calibri"/>
                <w:color w:val="000000" w:themeColor="text1"/>
              </w:rPr>
              <w:t>Yes</w:t>
            </w:r>
            <w:r w:rsidR="00614F60">
              <w:rPr>
                <w:rFonts w:ascii="Calibri" w:eastAsia="Calibri" w:hAnsi="Calibri" w:cs="Calibri"/>
                <w:color w:val="000000" w:themeColor="text1"/>
              </w:rPr>
              <w:t>.</w:t>
            </w:r>
          </w:p>
          <w:p w14:paraId="48261404" w14:textId="1F85C941" w:rsidR="00614F60" w:rsidRPr="00CF2E7C" w:rsidRDefault="00614F60" w:rsidP="00CF2E7C">
            <w:pPr>
              <w:rPr>
                <w:rFonts w:ascii="Calibri" w:eastAsia="Calibri" w:hAnsi="Calibri" w:cs="Calibri"/>
                <w:color w:val="000000" w:themeColor="text1"/>
              </w:rPr>
            </w:pPr>
            <w:r w:rsidRPr="00614F60">
              <w:rPr>
                <w:rFonts w:ascii="Calibri" w:eastAsia="Calibri" w:hAnsi="Calibri" w:cs="Calibri"/>
                <w:color w:val="000000" w:themeColor="text1"/>
              </w:rPr>
              <w:t xml:space="preserve">The </w:t>
            </w:r>
            <w:proofErr w:type="spellStart"/>
            <w:r>
              <w:rPr>
                <w:rFonts w:ascii="Calibri" w:eastAsia="Calibri" w:hAnsi="Calibri" w:cs="Calibri"/>
                <w:color w:val="000000" w:themeColor="text1"/>
              </w:rPr>
              <w:t>Regulaition</w:t>
            </w:r>
            <w:proofErr w:type="spellEnd"/>
            <w:r w:rsidRPr="00614F60">
              <w:rPr>
                <w:rFonts w:ascii="Calibri" w:eastAsia="Calibri" w:hAnsi="Calibri" w:cs="Calibri"/>
                <w:color w:val="000000" w:themeColor="text1"/>
              </w:rPr>
              <w:t xml:space="preserve"> requires methane intensity to be reported by importers and producers for each supply contract (Article 29(1), Annex IX point (10)). While a precise formula (e.g. grams CH₄ per MJ) is not codified, the Regulation references internationally recognised quantification methodologies such as UNFCCC tiers and OGMP 2.0 levels in Annex IX points (3) and (5), which are expected to guide the methane intensity determination.</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B1A428C" w:rsidR="002F0752" w:rsidRPr="00CF2E7C" w:rsidRDefault="006235CF" w:rsidP="00CF2E7C">
            <w:pPr>
              <w:rPr>
                <w:rFonts w:ascii="Calibri" w:hAnsi="Calibri" w:cs="Calibri"/>
              </w:rPr>
            </w:pPr>
            <w:r>
              <w:rPr>
                <w:rFonts w:ascii="Calibri" w:hAnsi="Calibri" w:cs="Calibri"/>
              </w:rPr>
              <w:t>X</w:t>
            </w: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06316AAC" w:rsidR="002F0752" w:rsidRPr="00CF2E7C" w:rsidRDefault="00C03965" w:rsidP="00CF2E7C">
            <w:pPr>
              <w:rPr>
                <w:rFonts w:ascii="Calibri" w:hAnsi="Calibri" w:cs="Calibri"/>
              </w:rPr>
            </w:pPr>
            <w:r>
              <w:rPr>
                <w:rFonts w:ascii="Calibri" w:hAnsi="Calibri" w:cs="Calibri"/>
              </w:rPr>
              <w:t>X</w:t>
            </w: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BA6273A" w14:textId="4D64D089" w:rsidR="002F0752" w:rsidRDefault="0069445C" w:rsidP="00CF2E7C">
            <w:pPr>
              <w:rPr>
                <w:rFonts w:ascii="Calibri" w:hAnsi="Calibri" w:cs="Calibri"/>
              </w:rPr>
            </w:pPr>
            <w:r w:rsidRPr="0069445C">
              <w:rPr>
                <w:rFonts w:ascii="Calibri" w:hAnsi="Calibri" w:cs="Calibri"/>
              </w:rPr>
              <w:t>Yes, the prohibition on routine venting and flaring under Article 15(1</w:t>
            </w:r>
            <w:r w:rsidR="00D20ECD" w:rsidRPr="00D20ECD">
              <w:rPr>
                <w:rFonts w:ascii="Calibri" w:hAnsi="Calibri" w:cs="Calibri"/>
              </w:rPr>
              <w:t>) is subject to a limited set of general exceptions, and is further complemented by sector-specific rules, particularly for coal operations.</w:t>
            </w:r>
            <w:r w:rsidR="00D20ECD">
              <w:rPr>
                <w:rFonts w:ascii="Calibri" w:hAnsi="Calibri" w:cs="Calibri"/>
              </w:rPr>
              <w:t xml:space="preserve"> General exceptions include:</w:t>
            </w:r>
          </w:p>
          <w:p w14:paraId="56118640" w14:textId="77777777" w:rsidR="0069445C" w:rsidRDefault="0069445C" w:rsidP="0069445C">
            <w:pPr>
              <w:pStyle w:val="ListParagraph"/>
              <w:numPr>
                <w:ilvl w:val="0"/>
                <w:numId w:val="52"/>
              </w:numPr>
              <w:rPr>
                <w:rFonts w:ascii="Calibri" w:hAnsi="Calibri" w:cs="Calibri"/>
              </w:rPr>
            </w:pPr>
            <w:r w:rsidRPr="0069445C">
              <w:rPr>
                <w:rFonts w:ascii="Calibri" w:hAnsi="Calibri" w:cs="Calibri"/>
              </w:rPr>
              <w:t>Emergencies or malfunctions</w:t>
            </w:r>
            <w:r w:rsidRPr="0069445C">
              <w:rPr>
                <w:rFonts w:ascii="Calibri" w:hAnsi="Calibri" w:cs="Calibri"/>
              </w:rPr>
              <w:t xml:space="preserve"> (Article 15(2)</w:t>
            </w:r>
            <w:proofErr w:type="gramStart"/>
            <w:r w:rsidRPr="0069445C">
              <w:rPr>
                <w:rFonts w:ascii="Calibri" w:hAnsi="Calibri" w:cs="Calibri"/>
              </w:rPr>
              <w:t>);</w:t>
            </w:r>
            <w:proofErr w:type="gramEnd"/>
          </w:p>
          <w:p w14:paraId="113C4812" w14:textId="68FACA6C" w:rsidR="0069445C" w:rsidRDefault="00043960" w:rsidP="0069445C">
            <w:pPr>
              <w:pStyle w:val="ListParagraph"/>
              <w:numPr>
                <w:ilvl w:val="0"/>
                <w:numId w:val="52"/>
              </w:numPr>
              <w:rPr>
                <w:rFonts w:ascii="Calibri" w:hAnsi="Calibri" w:cs="Calibri"/>
              </w:rPr>
            </w:pPr>
            <w:r w:rsidRPr="00043960">
              <w:rPr>
                <w:rFonts w:ascii="Calibri" w:hAnsi="Calibri" w:cs="Calibri"/>
              </w:rPr>
              <w:t xml:space="preserve">Operational situations </w:t>
            </w:r>
            <w:r w:rsidR="00A00CAA" w:rsidRPr="00A00CAA">
              <w:rPr>
                <w:rFonts w:ascii="Calibri" w:hAnsi="Calibri" w:cs="Calibri"/>
              </w:rPr>
              <w:t>where venting or flaring is "unavoidable and strictly necessary"</w:t>
            </w:r>
            <w:r w:rsidR="00A00CAA" w:rsidRPr="00A00CAA">
              <w:rPr>
                <w:rFonts w:ascii="Calibri" w:hAnsi="Calibri" w:cs="Calibri"/>
              </w:rPr>
              <w:t xml:space="preserve"> </w:t>
            </w:r>
            <w:r w:rsidR="008344BA">
              <w:rPr>
                <w:rFonts w:ascii="Calibri" w:hAnsi="Calibri" w:cs="Calibri"/>
              </w:rPr>
              <w:t>(Article 15(3)</w:t>
            </w:r>
            <w:proofErr w:type="gramStart"/>
            <w:r w:rsidR="008344BA">
              <w:rPr>
                <w:rFonts w:ascii="Calibri" w:hAnsi="Calibri" w:cs="Calibri"/>
              </w:rPr>
              <w:t>);</w:t>
            </w:r>
            <w:proofErr w:type="gramEnd"/>
          </w:p>
          <w:p w14:paraId="3BA34186" w14:textId="7D3CDE6F" w:rsidR="008344BA" w:rsidRDefault="00043960" w:rsidP="0069445C">
            <w:pPr>
              <w:pStyle w:val="ListParagraph"/>
              <w:numPr>
                <w:ilvl w:val="0"/>
                <w:numId w:val="52"/>
              </w:numPr>
              <w:rPr>
                <w:rFonts w:ascii="Calibri" w:hAnsi="Calibri" w:cs="Calibri"/>
              </w:rPr>
            </w:pPr>
            <w:r w:rsidRPr="00043960">
              <w:rPr>
                <w:rFonts w:ascii="Calibri" w:hAnsi="Calibri" w:cs="Calibri"/>
              </w:rPr>
              <w:t>Venting in lieu of flaring</w:t>
            </w:r>
            <w:r w:rsidR="00A00CAA">
              <w:rPr>
                <w:rFonts w:ascii="Calibri" w:hAnsi="Calibri" w:cs="Calibri"/>
              </w:rPr>
              <w:t xml:space="preserve">, </w:t>
            </w:r>
            <w:r w:rsidR="00A00CAA" w:rsidRPr="00A00CAA">
              <w:rPr>
                <w:rFonts w:ascii="Calibri" w:hAnsi="Calibri" w:cs="Calibri"/>
              </w:rPr>
              <w:t>where flaring is not technically feasible or would result in worse environmental impact</w:t>
            </w:r>
            <w:r w:rsidRPr="00043960">
              <w:rPr>
                <w:rFonts w:ascii="Calibri" w:hAnsi="Calibri" w:cs="Calibri"/>
              </w:rPr>
              <w:t xml:space="preserve"> </w:t>
            </w:r>
            <w:r w:rsidR="008344BA">
              <w:rPr>
                <w:rFonts w:ascii="Calibri" w:hAnsi="Calibri" w:cs="Calibri"/>
              </w:rPr>
              <w:t>(Article 15(4)).</w:t>
            </w:r>
          </w:p>
          <w:p w14:paraId="130A1B43" w14:textId="09C73E6A" w:rsidR="009F0251" w:rsidRPr="009F0251" w:rsidRDefault="009F0251" w:rsidP="009F0251">
            <w:pPr>
              <w:rPr>
                <w:rFonts w:ascii="Calibri" w:hAnsi="Calibri" w:cs="Calibri"/>
              </w:rPr>
            </w:pPr>
            <w:r w:rsidRPr="009F0251">
              <w:rPr>
                <w:rFonts w:ascii="Calibri" w:hAnsi="Calibri" w:cs="Calibri"/>
              </w:rPr>
              <w:t>All exceptions are subject to strict conditions, reporting obligations under Article 16, and in some cases, compliance with technical standards under Article 32.</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lastRenderedPageBreak/>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1115A04F" w:rsidR="002F0752" w:rsidRPr="00CF2E7C" w:rsidRDefault="00701802" w:rsidP="00CF2E7C">
            <w:pPr>
              <w:rPr>
                <w:rFonts w:ascii="Calibri" w:hAnsi="Calibri" w:cs="Calibri"/>
              </w:rPr>
            </w:pPr>
            <w:r>
              <w:rPr>
                <w:rFonts w:ascii="Calibri" w:hAnsi="Calibri" w:cs="Calibri"/>
              </w:rPr>
              <w:t>X</w:t>
            </w: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6444638" w14:textId="37F6F149" w:rsidR="00F3305E" w:rsidRPr="00F3305E" w:rsidRDefault="00216F95" w:rsidP="00F3305E">
            <w:pPr>
              <w:rPr>
                <w:rFonts w:ascii="Calibri" w:hAnsi="Calibri" w:cs="Calibri"/>
              </w:rPr>
            </w:pPr>
            <w:r w:rsidRPr="00216F95">
              <w:rPr>
                <w:rFonts w:ascii="Calibri" w:hAnsi="Calibri" w:cs="Calibri"/>
              </w:rPr>
              <w:t xml:space="preserve">Yes. </w:t>
            </w:r>
            <w:r w:rsidR="00F3305E" w:rsidRPr="00F3305E">
              <w:rPr>
                <w:rFonts w:ascii="Calibri" w:hAnsi="Calibri" w:cs="Calibri"/>
              </w:rPr>
              <w:t>The general prohibition of routine venting and flaring, including from coal operations, is laid down in Article 15(1).</w:t>
            </w:r>
          </w:p>
          <w:p w14:paraId="1B06696C" w14:textId="17933F62" w:rsidR="002F0752" w:rsidRPr="00CF2E7C" w:rsidRDefault="00F3305E" w:rsidP="00F3305E">
            <w:pPr>
              <w:rPr>
                <w:rFonts w:ascii="Calibri" w:hAnsi="Calibri" w:cs="Calibri"/>
              </w:rPr>
            </w:pPr>
            <w:r w:rsidRPr="00F3305E">
              <w:rPr>
                <w:rFonts w:ascii="Calibri" w:hAnsi="Calibri" w:cs="Calibri"/>
              </w:rPr>
              <w:t>Articles 22 to 26 provide additional sector-specific obligations and restrictions applying to active, closed, or abandoned coal mines, including performance standards, timelines and exceptions grounded in safety or technical feasibility.</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47C1FECD" w:rsidR="002F0752" w:rsidRPr="00CF2E7C" w:rsidRDefault="0005392E" w:rsidP="00CF2E7C">
            <w:pPr>
              <w:rPr>
                <w:rFonts w:ascii="Calibri" w:hAnsi="Calibri" w:cs="Calibri"/>
              </w:rPr>
            </w:pPr>
            <w:r>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6730958D" w:rsidR="002F0752" w:rsidRPr="00CF2E7C" w:rsidRDefault="0005392E"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491AE6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27FDA052" w:rsidR="002F0752" w:rsidRPr="00CF2E7C" w:rsidRDefault="00894B9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7526AD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07A4C8F7" w:rsidR="002F0752" w:rsidRPr="00CF2E7C" w:rsidRDefault="0074445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4DFD409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1D6B250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2791759" w:rsidR="002F0752" w:rsidRPr="00CF2E7C" w:rsidRDefault="00894B9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4390B1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549FDB0F" w:rsidR="002F0752" w:rsidRPr="00CF2E7C" w:rsidRDefault="003E023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13A3AA3D"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08C6AD32"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8EF1222"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16977A52"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4C3C58B5"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4223E515"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76181B7C"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15E3617B"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1F61DB" w:rsidR="002F0752" w:rsidRPr="00CF2E7C" w:rsidRDefault="003E023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01F9F4EA"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6D356D20"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35A866B4"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1878DE89"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6FFDEAC2" w:rsidR="002F0752" w:rsidRPr="00CF2E7C" w:rsidRDefault="003E023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5E2DD046"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1E9BFBE0" w:rsidR="002F0752" w:rsidRPr="00CF2E7C" w:rsidRDefault="00C6417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07A23EB4" w:rsidR="002F0752" w:rsidRPr="00CF2E7C" w:rsidRDefault="00894B9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0FE1D92A" w:rsidR="002F0752" w:rsidRPr="00CF2E7C" w:rsidRDefault="002166FF"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26F6D1" w14:textId="77777777" w:rsidR="00D3769D" w:rsidRDefault="00D3769D" w:rsidP="00CF2E7C">
            <w:pPr>
              <w:rPr>
                <w:rFonts w:ascii="Calibri" w:hAnsi="Calibri" w:cs="Calibri"/>
              </w:rPr>
            </w:pPr>
            <w:r>
              <w:rPr>
                <w:rFonts w:ascii="Calibri" w:hAnsi="Calibri" w:cs="Calibri"/>
              </w:rPr>
              <w:t xml:space="preserve">- </w:t>
            </w:r>
            <w:proofErr w:type="gramStart"/>
            <w:r>
              <w:rPr>
                <w:rFonts w:ascii="Calibri" w:hAnsi="Calibri" w:cs="Calibri"/>
              </w:rPr>
              <w:t>Other</w:t>
            </w:r>
            <w:proofErr w:type="gramEnd"/>
            <w:r>
              <w:rPr>
                <w:rFonts w:ascii="Calibri" w:hAnsi="Calibri" w:cs="Calibri"/>
              </w:rPr>
              <w:t xml:space="preserve"> ISO standard </w:t>
            </w:r>
          </w:p>
          <w:p w14:paraId="419F1BCA" w14:textId="4AB1AECC" w:rsidR="00D3769D" w:rsidRDefault="00386700" w:rsidP="00CF2E7C">
            <w:pPr>
              <w:rPr>
                <w:rFonts w:ascii="Calibri" w:hAnsi="Calibri" w:cs="Calibri"/>
              </w:rPr>
            </w:pPr>
            <w:r w:rsidRPr="00386700">
              <w:rPr>
                <w:rFonts w:ascii="Calibri" w:hAnsi="Calibri" w:cs="Calibri"/>
              </w:rPr>
              <w:t>ISO 16530-1:2017 is explicitly cited in Annex V</w:t>
            </w:r>
            <w:r w:rsidR="00FD5D5A">
              <w:rPr>
                <w:rFonts w:ascii="Calibri" w:hAnsi="Calibri" w:cs="Calibri"/>
              </w:rPr>
              <w:t>, Part 1</w:t>
            </w:r>
            <w:r w:rsidRPr="00386700">
              <w:rPr>
                <w:rFonts w:ascii="Calibri" w:hAnsi="Calibri" w:cs="Calibri"/>
              </w:rPr>
              <w:t xml:space="preserve"> (</w:t>
            </w:r>
            <w:r w:rsidR="009171F2" w:rsidRPr="009171F2">
              <w:rPr>
                <w:rFonts w:ascii="Calibri" w:hAnsi="Calibri" w:cs="Calibri"/>
              </w:rPr>
              <w:t>Inventories of and mitigation plans for inactive wells, temporarily plugged wells and permanently plugged and abandoned wells as referred to in Article 18</w:t>
            </w:r>
            <w:r w:rsidRPr="00386700">
              <w:rPr>
                <w:rFonts w:ascii="Calibri" w:hAnsi="Calibri" w:cs="Calibri"/>
              </w:rPr>
              <w:t>)</w:t>
            </w:r>
            <w:r w:rsidR="009171F2">
              <w:rPr>
                <w:rFonts w:ascii="Calibri" w:hAnsi="Calibri" w:cs="Calibri"/>
              </w:rPr>
              <w:t>.</w:t>
            </w:r>
            <w:r w:rsidR="0042578B">
              <w:rPr>
                <w:rFonts w:ascii="Calibri" w:hAnsi="Calibri" w:cs="Calibri"/>
              </w:rPr>
              <w:t xml:space="preserve"> </w:t>
            </w:r>
            <w:r w:rsidR="0042578B" w:rsidRPr="0042578B">
              <w:rPr>
                <w:rFonts w:ascii="Calibri" w:hAnsi="Calibri" w:cs="Calibri"/>
              </w:rPr>
              <w:t>The Regulation accepts this ISO standard as one possible method to demonstrate reliable permanent subsurface isolation for abandoned wells. It is not required but explicitly mentioned as valid evidence.</w:t>
            </w:r>
          </w:p>
          <w:p w14:paraId="4E7F0CF7" w14:textId="77777777" w:rsidR="00386700" w:rsidRDefault="00386700" w:rsidP="00CF2E7C">
            <w:pPr>
              <w:rPr>
                <w:rFonts w:ascii="Calibri" w:hAnsi="Calibri" w:cs="Calibri"/>
              </w:rPr>
            </w:pPr>
            <w:r>
              <w:rPr>
                <w:rFonts w:ascii="Calibri" w:hAnsi="Calibri" w:cs="Calibri"/>
              </w:rPr>
              <w:t>- Other</w:t>
            </w:r>
          </w:p>
          <w:p w14:paraId="216F1CD0" w14:textId="28DBE5A5" w:rsidR="00386700" w:rsidRPr="00CF2E7C" w:rsidRDefault="00386700" w:rsidP="00CF2E7C">
            <w:pPr>
              <w:rPr>
                <w:rFonts w:ascii="Calibri" w:hAnsi="Calibri" w:cs="Calibri"/>
              </w:rPr>
            </w:pPr>
            <w:r w:rsidRPr="00386700">
              <w:rPr>
                <w:rFonts w:ascii="Calibri" w:hAnsi="Calibri" w:cs="Calibri"/>
              </w:rPr>
              <w:t>This refers primarily to frameworks such as the UNFCCC reporting system and the OGMP 2.0 framework, both of which are repeatedly referenced as acceptable standards for methane measurement, quantification and reporting</w:t>
            </w:r>
            <w:r>
              <w:rPr>
                <w:rFonts w:ascii="Calibri" w:hAnsi="Calibri" w:cs="Calibri"/>
              </w:rPr>
              <w:t xml:space="preserve"> (Annex IX, point</w:t>
            </w:r>
            <w:r w:rsidR="00962C67">
              <w:rPr>
                <w:rFonts w:ascii="Calibri" w:hAnsi="Calibri" w:cs="Calibri"/>
              </w:rPr>
              <w:t>s</w:t>
            </w:r>
            <w:r>
              <w:rPr>
                <w:rFonts w:ascii="Calibri" w:hAnsi="Calibri" w:cs="Calibri"/>
              </w:rPr>
              <w:t xml:space="preserve"> (3)</w:t>
            </w:r>
            <w:r w:rsidR="00FA635B">
              <w:rPr>
                <w:rFonts w:ascii="Calibri" w:hAnsi="Calibri" w:cs="Calibri"/>
              </w:rPr>
              <w:t xml:space="preserve"> and </w:t>
            </w:r>
            <w:r>
              <w:rPr>
                <w:rFonts w:ascii="Calibri" w:hAnsi="Calibri" w:cs="Calibri"/>
              </w:rPr>
              <w:t>(5), Article</w:t>
            </w:r>
            <w:r w:rsidR="00CD6FDD">
              <w:rPr>
                <w:rFonts w:ascii="Calibri" w:hAnsi="Calibri" w:cs="Calibri"/>
              </w:rPr>
              <w:t xml:space="preserve"> 30</w:t>
            </w:r>
            <w:r>
              <w:rPr>
                <w:rFonts w:ascii="Calibri" w:hAnsi="Calibri" w:cs="Calibri"/>
              </w:rPr>
              <w:t>)</w:t>
            </w:r>
            <w:r w:rsidRPr="00386700">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9CC482" w14:textId="77777777" w:rsidR="00661FC6" w:rsidRDefault="00661FC6" w:rsidP="00874E39">
      <w:r>
        <w:separator/>
      </w:r>
    </w:p>
  </w:endnote>
  <w:endnote w:type="continuationSeparator" w:id="0">
    <w:p w14:paraId="4DC8E7C3" w14:textId="77777777" w:rsidR="00661FC6" w:rsidRDefault="00661FC6" w:rsidP="00874E39">
      <w:r>
        <w:continuationSeparator/>
      </w:r>
    </w:p>
  </w:endnote>
  <w:endnote w:type="continuationNotice" w:id="1">
    <w:p w14:paraId="76CB4939" w14:textId="77777777" w:rsidR="00661FC6" w:rsidRDefault="00661F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55C5C4" w14:textId="77777777" w:rsidR="00661FC6" w:rsidRDefault="00661FC6" w:rsidP="00874E39">
      <w:r>
        <w:separator/>
      </w:r>
    </w:p>
  </w:footnote>
  <w:footnote w:type="continuationSeparator" w:id="0">
    <w:p w14:paraId="315C7F6F" w14:textId="77777777" w:rsidR="00661FC6" w:rsidRDefault="00661FC6" w:rsidP="00874E39">
      <w:r>
        <w:continuationSeparator/>
      </w:r>
    </w:p>
  </w:footnote>
  <w:footnote w:type="continuationNotice" w:id="1">
    <w:p w14:paraId="1DDF4A9C" w14:textId="77777777" w:rsidR="00661FC6" w:rsidRDefault="00661F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C3143CC"/>
    <w:multiLevelType w:val="hybridMultilevel"/>
    <w:tmpl w:val="696E2110"/>
    <w:lvl w:ilvl="0" w:tplc="06B6EAA2">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053601"/>
    <w:multiLevelType w:val="hybridMultilevel"/>
    <w:tmpl w:val="FCD62C44"/>
    <w:lvl w:ilvl="0" w:tplc="06B6EAA2">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5639C1"/>
    <w:multiLevelType w:val="hybridMultilevel"/>
    <w:tmpl w:val="3A5404D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9536FB"/>
    <w:multiLevelType w:val="hybridMultilevel"/>
    <w:tmpl w:val="C352A6FA"/>
    <w:lvl w:ilvl="0" w:tplc="EE5853F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4AD2C3E"/>
    <w:multiLevelType w:val="hybridMultilevel"/>
    <w:tmpl w:val="87148A5E"/>
    <w:lvl w:ilvl="0" w:tplc="9C7CE1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6"/>
  </w:num>
  <w:num w:numId="4" w16cid:durableId="1689330127">
    <w:abstractNumId w:val="1"/>
  </w:num>
  <w:num w:numId="5" w16cid:durableId="401291788">
    <w:abstractNumId w:val="32"/>
  </w:num>
  <w:num w:numId="6" w16cid:durableId="1276788690">
    <w:abstractNumId w:val="15"/>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9"/>
  </w:num>
  <w:num w:numId="13" w16cid:durableId="2023899324">
    <w:abstractNumId w:val="12"/>
  </w:num>
  <w:num w:numId="14" w16cid:durableId="430587014">
    <w:abstractNumId w:val="7"/>
  </w:num>
  <w:num w:numId="15" w16cid:durableId="1742869061">
    <w:abstractNumId w:val="34"/>
  </w:num>
  <w:num w:numId="16" w16cid:durableId="1996450437">
    <w:abstractNumId w:val="22"/>
  </w:num>
  <w:num w:numId="17" w16cid:durableId="1529031027">
    <w:abstractNumId w:val="8"/>
  </w:num>
  <w:num w:numId="18" w16cid:durableId="568614617">
    <w:abstractNumId w:val="20"/>
  </w:num>
  <w:num w:numId="19" w16cid:durableId="1530605858">
    <w:abstractNumId w:val="47"/>
  </w:num>
  <w:num w:numId="20" w16cid:durableId="1328172586">
    <w:abstractNumId w:val="18"/>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3"/>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4"/>
  </w:num>
  <w:num w:numId="34" w16cid:durableId="1092120443">
    <w:abstractNumId w:val="43"/>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5"/>
  </w:num>
  <w:num w:numId="45" w16cid:durableId="1554191892">
    <w:abstractNumId w:val="45"/>
  </w:num>
  <w:num w:numId="46" w16cid:durableId="947811845">
    <w:abstractNumId w:val="51"/>
  </w:num>
  <w:num w:numId="47" w16cid:durableId="342588554">
    <w:abstractNumId w:val="29"/>
  </w:num>
  <w:num w:numId="48" w16cid:durableId="318391343">
    <w:abstractNumId w:val="40"/>
  </w:num>
  <w:num w:numId="49" w16cid:durableId="502209254">
    <w:abstractNumId w:val="10"/>
  </w:num>
  <w:num w:numId="50" w16cid:durableId="669329550">
    <w:abstractNumId w:val="28"/>
  </w:num>
  <w:num w:numId="51" w16cid:durableId="1741446430">
    <w:abstractNumId w:val="16"/>
  </w:num>
  <w:num w:numId="52" w16cid:durableId="1976524797">
    <w:abstractNumId w:val="14"/>
  </w:num>
  <w:num w:numId="53" w16cid:durableId="568228460">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A7F"/>
    <w:rsid w:val="00002B86"/>
    <w:rsid w:val="00004B5F"/>
    <w:rsid w:val="00004ED7"/>
    <w:rsid w:val="00005046"/>
    <w:rsid w:val="00005205"/>
    <w:rsid w:val="000057E1"/>
    <w:rsid w:val="00006B96"/>
    <w:rsid w:val="00006E38"/>
    <w:rsid w:val="00007194"/>
    <w:rsid w:val="00007D08"/>
    <w:rsid w:val="00010011"/>
    <w:rsid w:val="00010E13"/>
    <w:rsid w:val="00011409"/>
    <w:rsid w:val="0001245C"/>
    <w:rsid w:val="00012CE9"/>
    <w:rsid w:val="000137BE"/>
    <w:rsid w:val="000147A5"/>
    <w:rsid w:val="00016AF3"/>
    <w:rsid w:val="00021C84"/>
    <w:rsid w:val="000235A5"/>
    <w:rsid w:val="000237AB"/>
    <w:rsid w:val="00024B36"/>
    <w:rsid w:val="00024B46"/>
    <w:rsid w:val="00025699"/>
    <w:rsid w:val="00026B5D"/>
    <w:rsid w:val="00027241"/>
    <w:rsid w:val="00027314"/>
    <w:rsid w:val="000278A0"/>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960"/>
    <w:rsid w:val="000449A7"/>
    <w:rsid w:val="000463AE"/>
    <w:rsid w:val="00046B6B"/>
    <w:rsid w:val="00047A6C"/>
    <w:rsid w:val="00047A9C"/>
    <w:rsid w:val="00050BDF"/>
    <w:rsid w:val="000526BB"/>
    <w:rsid w:val="00052CA3"/>
    <w:rsid w:val="0005392E"/>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504"/>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55D"/>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431"/>
    <w:rsid w:val="001206CE"/>
    <w:rsid w:val="001221BA"/>
    <w:rsid w:val="00122504"/>
    <w:rsid w:val="00122733"/>
    <w:rsid w:val="00123F5C"/>
    <w:rsid w:val="00124C48"/>
    <w:rsid w:val="00132A2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D6"/>
    <w:rsid w:val="00153DBC"/>
    <w:rsid w:val="001546B4"/>
    <w:rsid w:val="0015483C"/>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50"/>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DBB"/>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16E"/>
    <w:rsid w:val="001C239C"/>
    <w:rsid w:val="001C3435"/>
    <w:rsid w:val="001C3966"/>
    <w:rsid w:val="001C4700"/>
    <w:rsid w:val="001C5A18"/>
    <w:rsid w:val="001C5C5D"/>
    <w:rsid w:val="001C614E"/>
    <w:rsid w:val="001C669F"/>
    <w:rsid w:val="001D03D3"/>
    <w:rsid w:val="001D04D9"/>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3C1"/>
    <w:rsid w:val="001E5EFB"/>
    <w:rsid w:val="001E63F2"/>
    <w:rsid w:val="001E7064"/>
    <w:rsid w:val="001E7C37"/>
    <w:rsid w:val="001E7EFB"/>
    <w:rsid w:val="001F028F"/>
    <w:rsid w:val="001F1106"/>
    <w:rsid w:val="001F1231"/>
    <w:rsid w:val="001F1584"/>
    <w:rsid w:val="001F2C8C"/>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CE0"/>
    <w:rsid w:val="00210E0F"/>
    <w:rsid w:val="00211851"/>
    <w:rsid w:val="002119B6"/>
    <w:rsid w:val="002122F2"/>
    <w:rsid w:val="0021535C"/>
    <w:rsid w:val="002166FF"/>
    <w:rsid w:val="00216F95"/>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93A"/>
    <w:rsid w:val="00246630"/>
    <w:rsid w:val="00247DE7"/>
    <w:rsid w:val="002500FA"/>
    <w:rsid w:val="00250ED8"/>
    <w:rsid w:val="00250F54"/>
    <w:rsid w:val="00250FCD"/>
    <w:rsid w:val="0025129B"/>
    <w:rsid w:val="0025449C"/>
    <w:rsid w:val="002552C9"/>
    <w:rsid w:val="0025765F"/>
    <w:rsid w:val="00257732"/>
    <w:rsid w:val="002633DF"/>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457"/>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5291"/>
    <w:rsid w:val="002A6274"/>
    <w:rsid w:val="002A6707"/>
    <w:rsid w:val="002B1491"/>
    <w:rsid w:val="002B1E50"/>
    <w:rsid w:val="002B229D"/>
    <w:rsid w:val="002B255F"/>
    <w:rsid w:val="002B272B"/>
    <w:rsid w:val="002B3098"/>
    <w:rsid w:val="002B4149"/>
    <w:rsid w:val="002B4903"/>
    <w:rsid w:val="002B6C7E"/>
    <w:rsid w:val="002B708A"/>
    <w:rsid w:val="002B7D5C"/>
    <w:rsid w:val="002C0576"/>
    <w:rsid w:val="002C060D"/>
    <w:rsid w:val="002C0DCE"/>
    <w:rsid w:val="002C14C2"/>
    <w:rsid w:val="002C169C"/>
    <w:rsid w:val="002C2336"/>
    <w:rsid w:val="002C5E2F"/>
    <w:rsid w:val="002C5EA7"/>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4A6"/>
    <w:rsid w:val="002F4EC2"/>
    <w:rsid w:val="002F51F3"/>
    <w:rsid w:val="002F5320"/>
    <w:rsid w:val="002F5D09"/>
    <w:rsid w:val="00300C2F"/>
    <w:rsid w:val="003020DB"/>
    <w:rsid w:val="003023A1"/>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40B"/>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82"/>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00F"/>
    <w:rsid w:val="00363218"/>
    <w:rsid w:val="00363320"/>
    <w:rsid w:val="003634F2"/>
    <w:rsid w:val="0036363F"/>
    <w:rsid w:val="003636B2"/>
    <w:rsid w:val="003647F4"/>
    <w:rsid w:val="0036671B"/>
    <w:rsid w:val="003676DE"/>
    <w:rsid w:val="0036779C"/>
    <w:rsid w:val="00372AEE"/>
    <w:rsid w:val="00374229"/>
    <w:rsid w:val="0037453B"/>
    <w:rsid w:val="00375A0F"/>
    <w:rsid w:val="00375D49"/>
    <w:rsid w:val="003762A4"/>
    <w:rsid w:val="00376C1D"/>
    <w:rsid w:val="003770DA"/>
    <w:rsid w:val="00377281"/>
    <w:rsid w:val="0037E466"/>
    <w:rsid w:val="003811C3"/>
    <w:rsid w:val="003817C1"/>
    <w:rsid w:val="00381CDC"/>
    <w:rsid w:val="00381E8A"/>
    <w:rsid w:val="00381FD3"/>
    <w:rsid w:val="00385566"/>
    <w:rsid w:val="00386700"/>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D43"/>
    <w:rsid w:val="003B0628"/>
    <w:rsid w:val="003B3C0F"/>
    <w:rsid w:val="003B4DD6"/>
    <w:rsid w:val="003B4F81"/>
    <w:rsid w:val="003B539A"/>
    <w:rsid w:val="003B5B6C"/>
    <w:rsid w:val="003B66F6"/>
    <w:rsid w:val="003B7854"/>
    <w:rsid w:val="003C14EB"/>
    <w:rsid w:val="003C16DA"/>
    <w:rsid w:val="003C1B65"/>
    <w:rsid w:val="003C5BA2"/>
    <w:rsid w:val="003D17C7"/>
    <w:rsid w:val="003D1B49"/>
    <w:rsid w:val="003D1CF3"/>
    <w:rsid w:val="003D207B"/>
    <w:rsid w:val="003D244B"/>
    <w:rsid w:val="003D2F57"/>
    <w:rsid w:val="003D4F6F"/>
    <w:rsid w:val="003D5104"/>
    <w:rsid w:val="003D56A4"/>
    <w:rsid w:val="003D6DA5"/>
    <w:rsid w:val="003E023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78B"/>
    <w:rsid w:val="00425FEF"/>
    <w:rsid w:val="00426919"/>
    <w:rsid w:val="00427085"/>
    <w:rsid w:val="00430927"/>
    <w:rsid w:val="00430E44"/>
    <w:rsid w:val="00432DF0"/>
    <w:rsid w:val="00432E52"/>
    <w:rsid w:val="00433033"/>
    <w:rsid w:val="004331FD"/>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3FA"/>
    <w:rsid w:val="00473D86"/>
    <w:rsid w:val="00474855"/>
    <w:rsid w:val="004768DF"/>
    <w:rsid w:val="00477E9B"/>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1E1"/>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146"/>
    <w:rsid w:val="004E4F56"/>
    <w:rsid w:val="004E51B5"/>
    <w:rsid w:val="004F0C55"/>
    <w:rsid w:val="004F1752"/>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2D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84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281F"/>
    <w:rsid w:val="005B355B"/>
    <w:rsid w:val="005B4539"/>
    <w:rsid w:val="005C327C"/>
    <w:rsid w:val="005C4420"/>
    <w:rsid w:val="005C5681"/>
    <w:rsid w:val="005C6A1D"/>
    <w:rsid w:val="005C765C"/>
    <w:rsid w:val="005C7DF6"/>
    <w:rsid w:val="005D02C9"/>
    <w:rsid w:val="005D1868"/>
    <w:rsid w:val="005D4EAB"/>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F60"/>
    <w:rsid w:val="00615CDA"/>
    <w:rsid w:val="00616D73"/>
    <w:rsid w:val="00617678"/>
    <w:rsid w:val="00620CAC"/>
    <w:rsid w:val="006225F1"/>
    <w:rsid w:val="006229D5"/>
    <w:rsid w:val="006231E7"/>
    <w:rsid w:val="006235CF"/>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FC6"/>
    <w:rsid w:val="006621B6"/>
    <w:rsid w:val="00662657"/>
    <w:rsid w:val="006631FF"/>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4498"/>
    <w:rsid w:val="00685A4F"/>
    <w:rsid w:val="006878AC"/>
    <w:rsid w:val="00690B2A"/>
    <w:rsid w:val="006936EF"/>
    <w:rsid w:val="006943E9"/>
    <w:rsid w:val="0069445C"/>
    <w:rsid w:val="00694A4F"/>
    <w:rsid w:val="00695D1D"/>
    <w:rsid w:val="00695F64"/>
    <w:rsid w:val="00696548"/>
    <w:rsid w:val="00696D68"/>
    <w:rsid w:val="00697298"/>
    <w:rsid w:val="006A00E0"/>
    <w:rsid w:val="006A05C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9C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1CD1"/>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CF4"/>
    <w:rsid w:val="006F7123"/>
    <w:rsid w:val="0070013E"/>
    <w:rsid w:val="00701802"/>
    <w:rsid w:val="00702413"/>
    <w:rsid w:val="00702929"/>
    <w:rsid w:val="00702C9D"/>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452"/>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5EB8"/>
    <w:rsid w:val="00777550"/>
    <w:rsid w:val="00777573"/>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1A2"/>
    <w:rsid w:val="007B6750"/>
    <w:rsid w:val="007B6AD4"/>
    <w:rsid w:val="007B6E7E"/>
    <w:rsid w:val="007B7083"/>
    <w:rsid w:val="007B72B3"/>
    <w:rsid w:val="007B7633"/>
    <w:rsid w:val="007B7DEE"/>
    <w:rsid w:val="007B7FD7"/>
    <w:rsid w:val="007C0E70"/>
    <w:rsid w:val="007C29C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669"/>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B55"/>
    <w:rsid w:val="00804575"/>
    <w:rsid w:val="008047E1"/>
    <w:rsid w:val="00804EC7"/>
    <w:rsid w:val="00805459"/>
    <w:rsid w:val="008063B5"/>
    <w:rsid w:val="00806435"/>
    <w:rsid w:val="00806687"/>
    <w:rsid w:val="00806AB6"/>
    <w:rsid w:val="00811FC6"/>
    <w:rsid w:val="0081210B"/>
    <w:rsid w:val="0081265C"/>
    <w:rsid w:val="0081313B"/>
    <w:rsid w:val="00813A3A"/>
    <w:rsid w:val="00813E00"/>
    <w:rsid w:val="00815729"/>
    <w:rsid w:val="00815AAB"/>
    <w:rsid w:val="00816D92"/>
    <w:rsid w:val="00816F1B"/>
    <w:rsid w:val="00820D9F"/>
    <w:rsid w:val="00822032"/>
    <w:rsid w:val="008247BD"/>
    <w:rsid w:val="008247E4"/>
    <w:rsid w:val="0082488A"/>
    <w:rsid w:val="0082674B"/>
    <w:rsid w:val="008273C0"/>
    <w:rsid w:val="008279D8"/>
    <w:rsid w:val="00831667"/>
    <w:rsid w:val="008318AE"/>
    <w:rsid w:val="00831C3E"/>
    <w:rsid w:val="008331E9"/>
    <w:rsid w:val="00833B6E"/>
    <w:rsid w:val="00833F13"/>
    <w:rsid w:val="00833FB6"/>
    <w:rsid w:val="00834370"/>
    <w:rsid w:val="008344BA"/>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51D"/>
    <w:rsid w:val="0087096F"/>
    <w:rsid w:val="008709CF"/>
    <w:rsid w:val="00872A9A"/>
    <w:rsid w:val="0087311D"/>
    <w:rsid w:val="008732CE"/>
    <w:rsid w:val="0087393B"/>
    <w:rsid w:val="008747C8"/>
    <w:rsid w:val="00874E39"/>
    <w:rsid w:val="008766C1"/>
    <w:rsid w:val="00877C38"/>
    <w:rsid w:val="00877FBD"/>
    <w:rsid w:val="00880170"/>
    <w:rsid w:val="00880274"/>
    <w:rsid w:val="00880887"/>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B95"/>
    <w:rsid w:val="00896A1E"/>
    <w:rsid w:val="00897600"/>
    <w:rsid w:val="008A0461"/>
    <w:rsid w:val="008A093D"/>
    <w:rsid w:val="008A1DDE"/>
    <w:rsid w:val="008A207F"/>
    <w:rsid w:val="008A345E"/>
    <w:rsid w:val="008A4434"/>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0FD"/>
    <w:rsid w:val="008C718C"/>
    <w:rsid w:val="008C7352"/>
    <w:rsid w:val="008C78AD"/>
    <w:rsid w:val="008C7C90"/>
    <w:rsid w:val="008D018C"/>
    <w:rsid w:val="008D0461"/>
    <w:rsid w:val="008D08EB"/>
    <w:rsid w:val="008D0BA1"/>
    <w:rsid w:val="008D273A"/>
    <w:rsid w:val="008D2B18"/>
    <w:rsid w:val="008D2FA8"/>
    <w:rsid w:val="008D36D2"/>
    <w:rsid w:val="008D45C5"/>
    <w:rsid w:val="008D5150"/>
    <w:rsid w:val="008D54CE"/>
    <w:rsid w:val="008D78E4"/>
    <w:rsid w:val="008E1EEF"/>
    <w:rsid w:val="008E3BCF"/>
    <w:rsid w:val="008E4B2E"/>
    <w:rsid w:val="008E540F"/>
    <w:rsid w:val="008E55CB"/>
    <w:rsid w:val="008E59EB"/>
    <w:rsid w:val="008E6AE1"/>
    <w:rsid w:val="008E760C"/>
    <w:rsid w:val="008F1E4B"/>
    <w:rsid w:val="008F27A6"/>
    <w:rsid w:val="008F31B3"/>
    <w:rsid w:val="008F3208"/>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1F2"/>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935"/>
    <w:rsid w:val="00960F14"/>
    <w:rsid w:val="009612D3"/>
    <w:rsid w:val="00962064"/>
    <w:rsid w:val="00962C67"/>
    <w:rsid w:val="00962F14"/>
    <w:rsid w:val="00963A39"/>
    <w:rsid w:val="00963DC5"/>
    <w:rsid w:val="009649F8"/>
    <w:rsid w:val="00965F2B"/>
    <w:rsid w:val="00966139"/>
    <w:rsid w:val="00966160"/>
    <w:rsid w:val="00966C8D"/>
    <w:rsid w:val="0097030B"/>
    <w:rsid w:val="00970C82"/>
    <w:rsid w:val="00971C0E"/>
    <w:rsid w:val="00974581"/>
    <w:rsid w:val="009745EE"/>
    <w:rsid w:val="00974796"/>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410"/>
    <w:rsid w:val="009B2D9B"/>
    <w:rsid w:val="009B6091"/>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5B18"/>
    <w:rsid w:val="009D7337"/>
    <w:rsid w:val="009D7CB0"/>
    <w:rsid w:val="009E133B"/>
    <w:rsid w:val="009E1E61"/>
    <w:rsid w:val="009E21B4"/>
    <w:rsid w:val="009E3D96"/>
    <w:rsid w:val="009E40D3"/>
    <w:rsid w:val="009E4263"/>
    <w:rsid w:val="009E5F98"/>
    <w:rsid w:val="009E6317"/>
    <w:rsid w:val="009E7B3F"/>
    <w:rsid w:val="009E7C10"/>
    <w:rsid w:val="009F0251"/>
    <w:rsid w:val="009F3542"/>
    <w:rsid w:val="009F56B4"/>
    <w:rsid w:val="009F5822"/>
    <w:rsid w:val="009F676A"/>
    <w:rsid w:val="009F7316"/>
    <w:rsid w:val="00A00CAA"/>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7E7"/>
    <w:rsid w:val="00A20CCF"/>
    <w:rsid w:val="00A21BB6"/>
    <w:rsid w:val="00A222D1"/>
    <w:rsid w:val="00A22938"/>
    <w:rsid w:val="00A22A89"/>
    <w:rsid w:val="00A234E2"/>
    <w:rsid w:val="00A23924"/>
    <w:rsid w:val="00A241BB"/>
    <w:rsid w:val="00A242D8"/>
    <w:rsid w:val="00A24FA0"/>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52A"/>
    <w:rsid w:val="00A93112"/>
    <w:rsid w:val="00A932DE"/>
    <w:rsid w:val="00A9656E"/>
    <w:rsid w:val="00AA186B"/>
    <w:rsid w:val="00AA38F6"/>
    <w:rsid w:val="00AA4965"/>
    <w:rsid w:val="00AA6DDB"/>
    <w:rsid w:val="00AB0830"/>
    <w:rsid w:val="00AB0A78"/>
    <w:rsid w:val="00AB2CCC"/>
    <w:rsid w:val="00AB4F2C"/>
    <w:rsid w:val="00AB64F8"/>
    <w:rsid w:val="00AC07A2"/>
    <w:rsid w:val="00AC6ECF"/>
    <w:rsid w:val="00AC7B6B"/>
    <w:rsid w:val="00AD1216"/>
    <w:rsid w:val="00AD1BC7"/>
    <w:rsid w:val="00AD27E4"/>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CE2"/>
    <w:rsid w:val="00B15489"/>
    <w:rsid w:val="00B16155"/>
    <w:rsid w:val="00B171FD"/>
    <w:rsid w:val="00B17588"/>
    <w:rsid w:val="00B17FBC"/>
    <w:rsid w:val="00B200F9"/>
    <w:rsid w:val="00B20D58"/>
    <w:rsid w:val="00B22535"/>
    <w:rsid w:val="00B23F86"/>
    <w:rsid w:val="00B2441D"/>
    <w:rsid w:val="00B24E10"/>
    <w:rsid w:val="00B25E7E"/>
    <w:rsid w:val="00B2670C"/>
    <w:rsid w:val="00B27DF4"/>
    <w:rsid w:val="00B310C1"/>
    <w:rsid w:val="00B32231"/>
    <w:rsid w:val="00B35E99"/>
    <w:rsid w:val="00B3764F"/>
    <w:rsid w:val="00B41334"/>
    <w:rsid w:val="00B41A60"/>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1AD"/>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E45"/>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7FB"/>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338"/>
    <w:rsid w:val="00C03965"/>
    <w:rsid w:val="00C1090B"/>
    <w:rsid w:val="00C10DD0"/>
    <w:rsid w:val="00C13017"/>
    <w:rsid w:val="00C13FBE"/>
    <w:rsid w:val="00C141CA"/>
    <w:rsid w:val="00C149A3"/>
    <w:rsid w:val="00C16C64"/>
    <w:rsid w:val="00C173CD"/>
    <w:rsid w:val="00C20109"/>
    <w:rsid w:val="00C20FC8"/>
    <w:rsid w:val="00C227D5"/>
    <w:rsid w:val="00C228DF"/>
    <w:rsid w:val="00C23FFE"/>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7F4"/>
    <w:rsid w:val="00C44721"/>
    <w:rsid w:val="00C44813"/>
    <w:rsid w:val="00C44B61"/>
    <w:rsid w:val="00C450A4"/>
    <w:rsid w:val="00C453A7"/>
    <w:rsid w:val="00C45B16"/>
    <w:rsid w:val="00C4670C"/>
    <w:rsid w:val="00C46FCF"/>
    <w:rsid w:val="00C4753A"/>
    <w:rsid w:val="00C47C46"/>
    <w:rsid w:val="00C512D5"/>
    <w:rsid w:val="00C514B8"/>
    <w:rsid w:val="00C51B29"/>
    <w:rsid w:val="00C5205E"/>
    <w:rsid w:val="00C522AB"/>
    <w:rsid w:val="00C55D72"/>
    <w:rsid w:val="00C56D45"/>
    <w:rsid w:val="00C57511"/>
    <w:rsid w:val="00C6146F"/>
    <w:rsid w:val="00C62AF0"/>
    <w:rsid w:val="00C636BA"/>
    <w:rsid w:val="00C63A43"/>
    <w:rsid w:val="00C6417D"/>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3E2"/>
    <w:rsid w:val="00CA5087"/>
    <w:rsid w:val="00CA58EE"/>
    <w:rsid w:val="00CA7EEF"/>
    <w:rsid w:val="00CB1649"/>
    <w:rsid w:val="00CB179D"/>
    <w:rsid w:val="00CB3E5E"/>
    <w:rsid w:val="00CB4EBD"/>
    <w:rsid w:val="00CB6338"/>
    <w:rsid w:val="00CB76AA"/>
    <w:rsid w:val="00CB790E"/>
    <w:rsid w:val="00CC0ED5"/>
    <w:rsid w:val="00CC1407"/>
    <w:rsid w:val="00CC1EA7"/>
    <w:rsid w:val="00CC450D"/>
    <w:rsid w:val="00CC4FFC"/>
    <w:rsid w:val="00CC5328"/>
    <w:rsid w:val="00CC77F9"/>
    <w:rsid w:val="00CC7AB1"/>
    <w:rsid w:val="00CC7CC0"/>
    <w:rsid w:val="00CD0735"/>
    <w:rsid w:val="00CD3D23"/>
    <w:rsid w:val="00CD42E0"/>
    <w:rsid w:val="00CD5322"/>
    <w:rsid w:val="00CD5934"/>
    <w:rsid w:val="00CD5F3D"/>
    <w:rsid w:val="00CD61C8"/>
    <w:rsid w:val="00CD6B26"/>
    <w:rsid w:val="00CD6DAC"/>
    <w:rsid w:val="00CD6FDD"/>
    <w:rsid w:val="00CE0CAF"/>
    <w:rsid w:val="00CE2394"/>
    <w:rsid w:val="00CE2998"/>
    <w:rsid w:val="00CE46AE"/>
    <w:rsid w:val="00CE6394"/>
    <w:rsid w:val="00CF01F9"/>
    <w:rsid w:val="00CF0A09"/>
    <w:rsid w:val="00CF12B7"/>
    <w:rsid w:val="00CF2E7C"/>
    <w:rsid w:val="00CF3188"/>
    <w:rsid w:val="00CF31E5"/>
    <w:rsid w:val="00CF3B95"/>
    <w:rsid w:val="00CF4338"/>
    <w:rsid w:val="00CF489E"/>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0ECD"/>
    <w:rsid w:val="00D2196F"/>
    <w:rsid w:val="00D21D15"/>
    <w:rsid w:val="00D23119"/>
    <w:rsid w:val="00D241D4"/>
    <w:rsid w:val="00D243BA"/>
    <w:rsid w:val="00D24A69"/>
    <w:rsid w:val="00D24F14"/>
    <w:rsid w:val="00D25520"/>
    <w:rsid w:val="00D27551"/>
    <w:rsid w:val="00D275A7"/>
    <w:rsid w:val="00D27824"/>
    <w:rsid w:val="00D3060F"/>
    <w:rsid w:val="00D31B8E"/>
    <w:rsid w:val="00D31FBC"/>
    <w:rsid w:val="00D33DB2"/>
    <w:rsid w:val="00D33DE7"/>
    <w:rsid w:val="00D348BC"/>
    <w:rsid w:val="00D34C6E"/>
    <w:rsid w:val="00D35386"/>
    <w:rsid w:val="00D3769D"/>
    <w:rsid w:val="00D405E6"/>
    <w:rsid w:val="00D429B0"/>
    <w:rsid w:val="00D43237"/>
    <w:rsid w:val="00D4323A"/>
    <w:rsid w:val="00D442ED"/>
    <w:rsid w:val="00D44C0E"/>
    <w:rsid w:val="00D451A0"/>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67FE8"/>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7E2"/>
    <w:rsid w:val="00DB4C6F"/>
    <w:rsid w:val="00DB61E7"/>
    <w:rsid w:val="00DB6C3C"/>
    <w:rsid w:val="00DC18A5"/>
    <w:rsid w:val="00DC1D8C"/>
    <w:rsid w:val="00DC231D"/>
    <w:rsid w:val="00DC31BF"/>
    <w:rsid w:val="00DC33EF"/>
    <w:rsid w:val="00DC4911"/>
    <w:rsid w:val="00DC5878"/>
    <w:rsid w:val="00DC7CFF"/>
    <w:rsid w:val="00DC7EFD"/>
    <w:rsid w:val="00DD090B"/>
    <w:rsid w:val="00DD15AE"/>
    <w:rsid w:val="00DD292A"/>
    <w:rsid w:val="00DD3144"/>
    <w:rsid w:val="00DD35ED"/>
    <w:rsid w:val="00DD3B33"/>
    <w:rsid w:val="00DD4AEB"/>
    <w:rsid w:val="00DD5243"/>
    <w:rsid w:val="00DD5C99"/>
    <w:rsid w:val="00DD694D"/>
    <w:rsid w:val="00DD72BD"/>
    <w:rsid w:val="00DD761B"/>
    <w:rsid w:val="00DE0079"/>
    <w:rsid w:val="00DE0517"/>
    <w:rsid w:val="00DE11DA"/>
    <w:rsid w:val="00DE3DC0"/>
    <w:rsid w:val="00DE78F0"/>
    <w:rsid w:val="00DF001D"/>
    <w:rsid w:val="00DF0A63"/>
    <w:rsid w:val="00DF1838"/>
    <w:rsid w:val="00DF2285"/>
    <w:rsid w:val="00DF3F6F"/>
    <w:rsid w:val="00DF4489"/>
    <w:rsid w:val="00DF50B5"/>
    <w:rsid w:val="00DF6212"/>
    <w:rsid w:val="00DF67CD"/>
    <w:rsid w:val="00DF6BF3"/>
    <w:rsid w:val="00DF6C42"/>
    <w:rsid w:val="00DF7242"/>
    <w:rsid w:val="00DF7DE6"/>
    <w:rsid w:val="00E020A8"/>
    <w:rsid w:val="00E02101"/>
    <w:rsid w:val="00E03122"/>
    <w:rsid w:val="00E03A10"/>
    <w:rsid w:val="00E03F7B"/>
    <w:rsid w:val="00E04C04"/>
    <w:rsid w:val="00E054E4"/>
    <w:rsid w:val="00E0606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27C"/>
    <w:rsid w:val="00E321EB"/>
    <w:rsid w:val="00E32892"/>
    <w:rsid w:val="00E330BA"/>
    <w:rsid w:val="00E34DED"/>
    <w:rsid w:val="00E368E8"/>
    <w:rsid w:val="00E36CF0"/>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DB0"/>
    <w:rsid w:val="00E73270"/>
    <w:rsid w:val="00E7355A"/>
    <w:rsid w:val="00E73663"/>
    <w:rsid w:val="00E738CA"/>
    <w:rsid w:val="00E7486E"/>
    <w:rsid w:val="00E75E25"/>
    <w:rsid w:val="00E76F8F"/>
    <w:rsid w:val="00E81727"/>
    <w:rsid w:val="00E8221C"/>
    <w:rsid w:val="00E83D9D"/>
    <w:rsid w:val="00E83E48"/>
    <w:rsid w:val="00E85E70"/>
    <w:rsid w:val="00E86383"/>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BEE"/>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CD5"/>
    <w:rsid w:val="00ED34A7"/>
    <w:rsid w:val="00ED5789"/>
    <w:rsid w:val="00ED6FE1"/>
    <w:rsid w:val="00ED77B0"/>
    <w:rsid w:val="00ED7E12"/>
    <w:rsid w:val="00EE04F1"/>
    <w:rsid w:val="00EE07D1"/>
    <w:rsid w:val="00EE23B3"/>
    <w:rsid w:val="00EE5475"/>
    <w:rsid w:val="00EE561D"/>
    <w:rsid w:val="00EE7415"/>
    <w:rsid w:val="00EF0934"/>
    <w:rsid w:val="00EF1A36"/>
    <w:rsid w:val="00EF277D"/>
    <w:rsid w:val="00EF350D"/>
    <w:rsid w:val="00EF4A01"/>
    <w:rsid w:val="00EF4A66"/>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05E"/>
    <w:rsid w:val="00F33485"/>
    <w:rsid w:val="00F3585C"/>
    <w:rsid w:val="00F3642C"/>
    <w:rsid w:val="00F3654A"/>
    <w:rsid w:val="00F36C5B"/>
    <w:rsid w:val="00F374EB"/>
    <w:rsid w:val="00F408F6"/>
    <w:rsid w:val="00F40E78"/>
    <w:rsid w:val="00F41680"/>
    <w:rsid w:val="00F41EE0"/>
    <w:rsid w:val="00F42C39"/>
    <w:rsid w:val="00F511CC"/>
    <w:rsid w:val="00F51334"/>
    <w:rsid w:val="00F5203B"/>
    <w:rsid w:val="00F526AD"/>
    <w:rsid w:val="00F527B7"/>
    <w:rsid w:val="00F52E73"/>
    <w:rsid w:val="00F52F6F"/>
    <w:rsid w:val="00F53828"/>
    <w:rsid w:val="00F5503F"/>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E1C"/>
    <w:rsid w:val="00F74037"/>
    <w:rsid w:val="00F7455B"/>
    <w:rsid w:val="00F746AC"/>
    <w:rsid w:val="00F74B9D"/>
    <w:rsid w:val="00F75058"/>
    <w:rsid w:val="00F75726"/>
    <w:rsid w:val="00F7660F"/>
    <w:rsid w:val="00F768AD"/>
    <w:rsid w:val="00F76B75"/>
    <w:rsid w:val="00F774EE"/>
    <w:rsid w:val="00F77D2F"/>
    <w:rsid w:val="00F77EB8"/>
    <w:rsid w:val="00F81B8F"/>
    <w:rsid w:val="00F8493A"/>
    <w:rsid w:val="00F85F89"/>
    <w:rsid w:val="00F8634D"/>
    <w:rsid w:val="00F86AAC"/>
    <w:rsid w:val="00F86D14"/>
    <w:rsid w:val="00F87716"/>
    <w:rsid w:val="00F87E26"/>
    <w:rsid w:val="00F909A2"/>
    <w:rsid w:val="00F90B02"/>
    <w:rsid w:val="00F91338"/>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57B"/>
    <w:rsid w:val="00FA635B"/>
    <w:rsid w:val="00FA6DED"/>
    <w:rsid w:val="00FA76DF"/>
    <w:rsid w:val="00FA78EA"/>
    <w:rsid w:val="00FB5A70"/>
    <w:rsid w:val="00FC0689"/>
    <w:rsid w:val="00FC13F0"/>
    <w:rsid w:val="00FC337B"/>
    <w:rsid w:val="00FC5AA7"/>
    <w:rsid w:val="00FC6E48"/>
    <w:rsid w:val="00FD3587"/>
    <w:rsid w:val="00FD42FF"/>
    <w:rsid w:val="00FD4B6C"/>
    <w:rsid w:val="00FD5199"/>
    <w:rsid w:val="00FD5D5A"/>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0B"/>
    <w:rsid w:val="00FE6453"/>
    <w:rsid w:val="00FE66B1"/>
    <w:rsid w:val="00FE7713"/>
    <w:rsid w:val="00FE7C66"/>
    <w:rsid w:val="00FE7DFB"/>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15151425/https://greencentralasia.org/en/2025/06/joint-workshop-introduces-new-european-union-eu-regulation-on-reducing-methane-emissions-in-the-energy-sector-in-ashgaba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0153452/https://eur-lex.europa.eu/eli/reg/2024/1787/oj/en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5151319/https://energy.ec.europa.eu/topics/carbon-management-and-fossil-fuels/methane-emissions_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5151627/https://www.glanlaw.org/eu-methane"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23455</Words>
  <Characters>133700</Characters>
  <Application>Microsoft Office Word</Application>
  <DocSecurity>0</DocSecurity>
  <Lines>1114</Lines>
  <Paragraphs>313</Paragraphs>
  <ScaleCrop>false</ScaleCrop>
  <Company/>
  <LinksUpToDate>false</LinksUpToDate>
  <CharactersWithSpaces>156842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151</cp:revision>
  <cp:lastPrinted>2025-03-21T00:14:00Z</cp:lastPrinted>
  <dcterms:created xsi:type="dcterms:W3CDTF">2025-06-19T12:24:00Z</dcterms:created>
  <dcterms:modified xsi:type="dcterms:W3CDTF">2025-07-16T17:46:00Z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